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BA" w:rsidRPr="002144BA" w:rsidRDefault="002144BA" w:rsidP="002144BA">
      <w:pPr>
        <w:rPr>
          <w:rFonts w:ascii="Arial Narrow" w:hAnsi="Arial Narrow"/>
          <w:sz w:val="22"/>
          <w:szCs w:val="22"/>
        </w:rPr>
      </w:pPr>
      <w:r w:rsidRPr="002144BA">
        <w:rPr>
          <w:rFonts w:ascii="Arial Narrow" w:hAnsi="Arial Narrow"/>
          <w:noProof/>
          <w:lang w:val="en-AU" w:eastAsia="en-AU"/>
        </w:rPr>
        <w:drawing>
          <wp:anchor distT="0" distB="0" distL="114300" distR="114300" simplePos="0" relativeHeight="251660288" behindDoc="1" locked="0" layoutInCell="1" allowOverlap="1">
            <wp:simplePos x="0" y="0"/>
            <wp:positionH relativeFrom="column">
              <wp:posOffset>5490210</wp:posOffset>
            </wp:positionH>
            <wp:positionV relativeFrom="paragraph">
              <wp:posOffset>4445</wp:posOffset>
            </wp:positionV>
            <wp:extent cx="1231900" cy="1173480"/>
            <wp:effectExtent l="0" t="0" r="6350" b="7620"/>
            <wp:wrapNone/>
            <wp:docPr id="2" name="Picture 2" descr="http://activerain.com/image_store/uploads/9/4/1/5/9/ar128820402695149.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tiverain.com/image_store/uploads/9/4/1/5/9/ar128820402695149.png">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3190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4BA">
        <w:rPr>
          <w:rFonts w:ascii="Arial Narrow" w:hAnsi="Arial Narrow"/>
          <w:b/>
          <w:noProof/>
          <w:sz w:val="36"/>
          <w:szCs w:val="40"/>
          <w:lang w:val="en-AU" w:eastAsia="en-AU"/>
        </w:rPr>
        <w:drawing>
          <wp:anchor distT="0" distB="0" distL="114300" distR="114300" simplePos="0" relativeHeight="251659264" behindDoc="1" locked="0" layoutInCell="1" allowOverlap="1">
            <wp:simplePos x="0" y="0"/>
            <wp:positionH relativeFrom="column">
              <wp:posOffset>384810</wp:posOffset>
            </wp:positionH>
            <wp:positionV relativeFrom="paragraph">
              <wp:posOffset>62865</wp:posOffset>
            </wp:positionV>
            <wp:extent cx="869950" cy="837565"/>
            <wp:effectExtent l="0" t="0" r="6350" b="635"/>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4BA">
        <w:rPr>
          <w:rFonts w:ascii="Arial Narrow" w:hAnsi="Arial Narrow"/>
        </w:rPr>
        <w:t xml:space="preserve">  </w:t>
      </w:r>
    </w:p>
    <w:p w:rsidR="002144BA" w:rsidRPr="002144BA" w:rsidRDefault="002144BA" w:rsidP="002144BA">
      <w:pPr>
        <w:jc w:val="center"/>
        <w:rPr>
          <w:rFonts w:ascii="Arial Narrow" w:hAnsi="Arial Narrow"/>
          <w:b/>
          <w:sz w:val="36"/>
          <w:szCs w:val="40"/>
        </w:rPr>
      </w:pPr>
    </w:p>
    <w:p w:rsidR="002144BA" w:rsidRPr="002144BA" w:rsidRDefault="0062047A" w:rsidP="002144BA">
      <w:pPr>
        <w:jc w:val="center"/>
        <w:rPr>
          <w:rFonts w:ascii="Arial Narrow" w:hAnsi="Arial Narrow"/>
          <w:b/>
          <w:sz w:val="36"/>
          <w:szCs w:val="40"/>
        </w:rPr>
      </w:pPr>
      <w:r>
        <w:rPr>
          <w:rFonts w:ascii="Arial Narrow" w:hAnsi="Arial Narrow"/>
          <w:b/>
          <w:sz w:val="36"/>
          <w:szCs w:val="40"/>
        </w:rPr>
        <w:t>Year 3 Term 1 Overview 2018</w:t>
      </w:r>
    </w:p>
    <w:p w:rsidR="002144BA" w:rsidRPr="002144BA" w:rsidRDefault="002144BA" w:rsidP="002144BA">
      <w:pPr>
        <w:rPr>
          <w:rFonts w:ascii="Arial Narrow" w:hAnsi="Arial Narrow"/>
          <w:sz w:val="20"/>
          <w:szCs w:val="22"/>
        </w:rPr>
      </w:pPr>
    </w:p>
    <w:p w:rsidR="002144BA" w:rsidRPr="002144BA" w:rsidRDefault="002144BA" w:rsidP="002144BA">
      <w:pPr>
        <w:rPr>
          <w:rFonts w:ascii="Arial Narrow" w:hAnsi="Arial Narrow"/>
          <w:sz w:val="20"/>
          <w:szCs w:val="22"/>
        </w:rPr>
      </w:pPr>
    </w:p>
    <w:p w:rsidR="002144BA" w:rsidRPr="002144BA" w:rsidRDefault="002144BA" w:rsidP="002144BA">
      <w:pPr>
        <w:rPr>
          <w:rFonts w:ascii="Arial Narrow" w:hAnsi="Arial Narrow"/>
          <w:sz w:val="20"/>
          <w:szCs w:val="22"/>
        </w:rPr>
      </w:pPr>
      <w:r w:rsidRPr="002144BA">
        <w:rPr>
          <w:rFonts w:ascii="Arial Narrow" w:hAnsi="Arial Narrow"/>
          <w:sz w:val="20"/>
          <w:szCs w:val="22"/>
        </w:rPr>
        <w:t>Dear Parent/Guardians,</w:t>
      </w:r>
    </w:p>
    <w:p w:rsidR="002144BA" w:rsidRPr="002144BA" w:rsidRDefault="002144BA" w:rsidP="002144BA">
      <w:pPr>
        <w:tabs>
          <w:tab w:val="left" w:pos="1276"/>
        </w:tabs>
        <w:rPr>
          <w:rFonts w:ascii="Arial Narrow" w:hAnsi="Arial Narrow"/>
          <w:sz w:val="10"/>
          <w:szCs w:val="22"/>
        </w:rPr>
      </w:pPr>
    </w:p>
    <w:p w:rsidR="002144BA" w:rsidRPr="002144BA" w:rsidRDefault="002144BA" w:rsidP="002144BA">
      <w:pPr>
        <w:jc w:val="both"/>
        <w:rPr>
          <w:rFonts w:ascii="Arial Narrow" w:hAnsi="Arial Narrow"/>
          <w:sz w:val="20"/>
          <w:szCs w:val="20"/>
        </w:rPr>
      </w:pPr>
      <w:r w:rsidRPr="002144BA">
        <w:rPr>
          <w:rFonts w:ascii="Arial Narrow" w:hAnsi="Arial Narrow"/>
          <w:sz w:val="20"/>
          <w:szCs w:val="20"/>
        </w:rPr>
        <w:t>Pleas</w:t>
      </w:r>
      <w:r w:rsidR="002345AF">
        <w:rPr>
          <w:rFonts w:ascii="Arial Narrow" w:hAnsi="Arial Narrow"/>
          <w:sz w:val="20"/>
          <w:szCs w:val="20"/>
        </w:rPr>
        <w:t>e find an outline of the grade 3</w:t>
      </w:r>
      <w:r w:rsidRPr="002144BA">
        <w:rPr>
          <w:rFonts w:ascii="Arial Narrow" w:hAnsi="Arial Narrow"/>
          <w:sz w:val="20"/>
          <w:szCs w:val="20"/>
        </w:rPr>
        <w:t xml:space="preserve"> teaching and learning </w:t>
      </w:r>
      <w:r w:rsidR="002345AF">
        <w:rPr>
          <w:rFonts w:ascii="Arial Narrow" w:hAnsi="Arial Narrow"/>
          <w:sz w:val="20"/>
          <w:szCs w:val="20"/>
        </w:rPr>
        <w:t xml:space="preserve">programs for Term 1. </w:t>
      </w:r>
      <w:r w:rsidRPr="002144BA">
        <w:rPr>
          <w:rFonts w:ascii="Arial Narrow" w:hAnsi="Arial Narrow"/>
          <w:sz w:val="20"/>
          <w:szCs w:val="20"/>
        </w:rPr>
        <w:t xml:space="preserve">Due to the wide range of student abilities in each classroom, the teaching and learning program will be structured so that the learning needs of each student are catered for. Students will also be using their tablets to deepen their understanding of concepts, raise engagement levels and support personalised learning through all areas of the curriculum.  </w:t>
      </w:r>
    </w:p>
    <w:p w:rsidR="002144BA" w:rsidRPr="002144BA" w:rsidRDefault="002144BA" w:rsidP="002144BA">
      <w:pPr>
        <w:rPr>
          <w:rFonts w:ascii="Arial Narrow" w:hAnsi="Arial Narrow"/>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929"/>
        <w:gridCol w:w="1382"/>
        <w:gridCol w:w="1655"/>
        <w:gridCol w:w="2740"/>
      </w:tblGrid>
      <w:tr w:rsidR="002144BA" w:rsidRPr="002144BA" w:rsidTr="00C0340B">
        <w:trPr>
          <w:trHeight w:val="912"/>
        </w:trPr>
        <w:tc>
          <w:tcPr>
            <w:tcW w:w="2056" w:type="dxa"/>
            <w:vMerge w:val="restart"/>
            <w:vAlign w:val="center"/>
          </w:tcPr>
          <w:p w:rsidR="002144BA" w:rsidRPr="002144BA" w:rsidRDefault="002144BA" w:rsidP="00293BE4">
            <w:pPr>
              <w:jc w:val="center"/>
              <w:rPr>
                <w:rFonts w:ascii="Arial Narrow" w:hAnsi="Arial Narrow" w:cs="Arial"/>
                <w:b/>
                <w:sz w:val="20"/>
                <w:szCs w:val="22"/>
                <w:u w:val="single"/>
              </w:rPr>
            </w:pPr>
            <w:r w:rsidRPr="002144BA">
              <w:rPr>
                <w:rFonts w:ascii="Arial Narrow" w:hAnsi="Arial Narrow" w:cs="Arial"/>
                <w:b/>
                <w:sz w:val="20"/>
                <w:szCs w:val="22"/>
                <w:u w:val="single"/>
              </w:rPr>
              <w:t>English:</w:t>
            </w:r>
          </w:p>
        </w:tc>
        <w:tc>
          <w:tcPr>
            <w:tcW w:w="8706" w:type="dxa"/>
            <w:gridSpan w:val="4"/>
            <w:tcBorders>
              <w:bottom w:val="nil"/>
            </w:tcBorders>
            <w:vAlign w:val="center"/>
          </w:tcPr>
          <w:p w:rsidR="002144BA" w:rsidRPr="0047778C" w:rsidRDefault="002144BA" w:rsidP="002345AF">
            <w:pPr>
              <w:rPr>
                <w:rFonts w:ascii="Arial Narrow" w:hAnsi="Arial Narrow" w:cs="Arial"/>
                <w:color w:val="000000" w:themeColor="text1"/>
                <w:sz w:val="20"/>
                <w:szCs w:val="22"/>
              </w:rPr>
            </w:pPr>
            <w:r w:rsidRPr="0047778C">
              <w:rPr>
                <w:rFonts w:ascii="Arial Narrow" w:hAnsi="Arial Narrow" w:cs="Arial"/>
                <w:b/>
                <w:i/>
                <w:color w:val="000000" w:themeColor="text1"/>
                <w:sz w:val="20"/>
                <w:szCs w:val="22"/>
              </w:rPr>
              <w:t>Reading</w:t>
            </w:r>
            <w:r w:rsidRPr="0047778C">
              <w:rPr>
                <w:rFonts w:ascii="Arial Narrow" w:hAnsi="Arial Narrow" w:cs="Arial"/>
                <w:i/>
                <w:color w:val="000000" w:themeColor="text1"/>
                <w:sz w:val="20"/>
                <w:szCs w:val="22"/>
              </w:rPr>
              <w:t xml:space="preserve"> </w:t>
            </w:r>
            <w:r w:rsidRPr="0047778C">
              <w:rPr>
                <w:rFonts w:ascii="Arial Narrow" w:hAnsi="Arial Narrow" w:cs="Arial"/>
                <w:color w:val="000000" w:themeColor="text1"/>
                <w:sz w:val="20"/>
                <w:szCs w:val="22"/>
              </w:rPr>
              <w:t>sessions will involve a variety of learning experiences related to a range of texts. Students will be grouped with other students of like needs. Students will be exposed to</w:t>
            </w:r>
            <w:r w:rsidRPr="0047778C">
              <w:rPr>
                <w:rFonts w:ascii="Arial Narrow" w:hAnsi="Arial Narrow"/>
                <w:color w:val="000000" w:themeColor="text1"/>
                <w:sz w:val="20"/>
                <w:szCs w:val="20"/>
              </w:rPr>
              <w:t xml:space="preserve"> </w:t>
            </w:r>
            <w:r w:rsidR="002345AF" w:rsidRPr="0047778C">
              <w:rPr>
                <w:rFonts w:ascii="Arial Narrow" w:hAnsi="Arial Narrow"/>
                <w:color w:val="000000" w:themeColor="text1"/>
                <w:sz w:val="20"/>
                <w:szCs w:val="20"/>
              </w:rPr>
              <w:t>the CAFÉ reading program which aims at developing the Comprehension, Accuracy, Fluency and Vocabulary of students. Strategies to assist in students understanding of texts, their oral reading, and word recognition and decoding skills will be a focus during Term 1</w:t>
            </w:r>
            <w:r w:rsidRPr="0047778C">
              <w:rPr>
                <w:rFonts w:ascii="Arial Narrow" w:hAnsi="Arial Narrow"/>
                <w:color w:val="000000" w:themeColor="text1"/>
                <w:sz w:val="20"/>
                <w:szCs w:val="20"/>
              </w:rPr>
              <w:t>. Some of these include:</w:t>
            </w:r>
          </w:p>
        </w:tc>
      </w:tr>
      <w:tr w:rsidR="002144BA" w:rsidRPr="002144BA" w:rsidTr="00C0340B">
        <w:trPr>
          <w:trHeight w:val="995"/>
        </w:trPr>
        <w:tc>
          <w:tcPr>
            <w:tcW w:w="2056" w:type="dxa"/>
            <w:vMerge/>
            <w:vAlign w:val="center"/>
          </w:tcPr>
          <w:p w:rsidR="002144BA" w:rsidRPr="002144BA" w:rsidRDefault="002144BA" w:rsidP="00293BE4">
            <w:pPr>
              <w:jc w:val="center"/>
              <w:rPr>
                <w:rFonts w:ascii="Arial Narrow" w:hAnsi="Arial Narrow" w:cs="Arial"/>
                <w:b/>
                <w:sz w:val="20"/>
                <w:szCs w:val="22"/>
                <w:u w:val="single"/>
              </w:rPr>
            </w:pPr>
          </w:p>
        </w:tc>
        <w:tc>
          <w:tcPr>
            <w:tcW w:w="4311" w:type="dxa"/>
            <w:gridSpan w:val="2"/>
            <w:tcBorders>
              <w:top w:val="nil"/>
              <w:right w:val="nil"/>
            </w:tcBorders>
            <w:vAlign w:val="center"/>
          </w:tcPr>
          <w:p w:rsidR="002144BA" w:rsidRPr="0047778C" w:rsidRDefault="002345AF" w:rsidP="00293BE4">
            <w:pPr>
              <w:numPr>
                <w:ilvl w:val="0"/>
                <w:numId w:val="3"/>
              </w:numPr>
              <w:rPr>
                <w:rFonts w:ascii="Arial Narrow" w:hAnsi="Arial Narrow"/>
                <w:color w:val="000000" w:themeColor="text1"/>
                <w:sz w:val="20"/>
                <w:szCs w:val="20"/>
              </w:rPr>
            </w:pPr>
            <w:r w:rsidRPr="0047778C">
              <w:rPr>
                <w:rFonts w:ascii="Arial Narrow" w:hAnsi="Arial Narrow"/>
                <w:color w:val="000000" w:themeColor="text1"/>
                <w:sz w:val="20"/>
                <w:szCs w:val="20"/>
              </w:rPr>
              <w:t>Check for Understanding</w:t>
            </w:r>
          </w:p>
          <w:p w:rsidR="002144BA" w:rsidRPr="0047778C" w:rsidRDefault="002345AF" w:rsidP="00293BE4">
            <w:pPr>
              <w:numPr>
                <w:ilvl w:val="0"/>
                <w:numId w:val="3"/>
              </w:numPr>
              <w:rPr>
                <w:rFonts w:ascii="Arial Narrow" w:hAnsi="Arial Narrow"/>
                <w:color w:val="000000" w:themeColor="text1"/>
                <w:sz w:val="20"/>
                <w:szCs w:val="20"/>
              </w:rPr>
            </w:pPr>
            <w:r w:rsidRPr="0047778C">
              <w:rPr>
                <w:rFonts w:ascii="Arial Narrow" w:hAnsi="Arial Narrow"/>
                <w:color w:val="000000" w:themeColor="text1"/>
                <w:sz w:val="20"/>
                <w:szCs w:val="20"/>
              </w:rPr>
              <w:t>Cross Checking</w:t>
            </w:r>
          </w:p>
          <w:p w:rsidR="003E0A6F" w:rsidRPr="0047778C" w:rsidRDefault="002345AF" w:rsidP="002345AF">
            <w:pPr>
              <w:numPr>
                <w:ilvl w:val="0"/>
                <w:numId w:val="3"/>
              </w:numPr>
              <w:rPr>
                <w:rFonts w:ascii="Arial Narrow" w:hAnsi="Arial Narrow"/>
                <w:color w:val="000000" w:themeColor="text1"/>
                <w:sz w:val="20"/>
                <w:szCs w:val="20"/>
              </w:rPr>
            </w:pPr>
            <w:r w:rsidRPr="0047778C">
              <w:rPr>
                <w:rFonts w:ascii="Arial Narrow" w:hAnsi="Arial Narrow"/>
                <w:color w:val="000000" w:themeColor="text1"/>
                <w:sz w:val="20"/>
                <w:szCs w:val="20"/>
              </w:rPr>
              <w:t>Finding the Main Idea</w:t>
            </w:r>
          </w:p>
        </w:tc>
        <w:tc>
          <w:tcPr>
            <w:tcW w:w="4395" w:type="dxa"/>
            <w:gridSpan w:val="2"/>
            <w:tcBorders>
              <w:top w:val="nil"/>
              <w:left w:val="nil"/>
            </w:tcBorders>
            <w:vAlign w:val="center"/>
          </w:tcPr>
          <w:p w:rsidR="002144BA" w:rsidRPr="0047778C" w:rsidRDefault="002345AF" w:rsidP="00293BE4">
            <w:pPr>
              <w:numPr>
                <w:ilvl w:val="0"/>
                <w:numId w:val="3"/>
              </w:numPr>
              <w:rPr>
                <w:rFonts w:ascii="Arial Narrow" w:hAnsi="Arial Narrow" w:cs="Arial"/>
                <w:color w:val="000000" w:themeColor="text1"/>
                <w:sz w:val="20"/>
                <w:szCs w:val="22"/>
              </w:rPr>
            </w:pPr>
            <w:r w:rsidRPr="0047778C">
              <w:rPr>
                <w:rFonts w:ascii="Arial Narrow" w:hAnsi="Arial Narrow"/>
                <w:color w:val="000000" w:themeColor="text1"/>
                <w:sz w:val="20"/>
                <w:szCs w:val="20"/>
              </w:rPr>
              <w:t>Back up and Reread</w:t>
            </w:r>
          </w:p>
          <w:p w:rsidR="002144BA" w:rsidRPr="0047778C" w:rsidRDefault="002345AF" w:rsidP="00293BE4">
            <w:pPr>
              <w:numPr>
                <w:ilvl w:val="0"/>
                <w:numId w:val="3"/>
              </w:numPr>
              <w:rPr>
                <w:rFonts w:ascii="Arial Narrow" w:hAnsi="Arial Narrow" w:cs="Arial"/>
                <w:color w:val="000000" w:themeColor="text1"/>
                <w:sz w:val="20"/>
                <w:szCs w:val="22"/>
              </w:rPr>
            </w:pPr>
            <w:r w:rsidRPr="0047778C">
              <w:rPr>
                <w:rFonts w:ascii="Arial Narrow" w:hAnsi="Arial Narrow"/>
                <w:color w:val="000000" w:themeColor="text1"/>
                <w:sz w:val="20"/>
                <w:szCs w:val="20"/>
              </w:rPr>
              <w:t>Tune into Interesting Words</w:t>
            </w:r>
          </w:p>
          <w:p w:rsidR="00AA0036" w:rsidRPr="0047778C" w:rsidRDefault="0047778C" w:rsidP="002345AF">
            <w:pPr>
              <w:numPr>
                <w:ilvl w:val="0"/>
                <w:numId w:val="3"/>
              </w:numPr>
              <w:rPr>
                <w:rFonts w:ascii="Arial Narrow" w:hAnsi="Arial Narrow" w:cs="Arial"/>
                <w:color w:val="000000" w:themeColor="text1"/>
                <w:sz w:val="20"/>
                <w:szCs w:val="22"/>
              </w:rPr>
            </w:pPr>
            <w:r w:rsidRPr="0047778C">
              <w:rPr>
                <w:rFonts w:ascii="Arial Narrow" w:hAnsi="Arial Narrow" w:cs="Arial"/>
                <w:color w:val="000000" w:themeColor="text1"/>
                <w:sz w:val="20"/>
                <w:szCs w:val="22"/>
              </w:rPr>
              <w:t>Finding a ‘just right book’</w:t>
            </w:r>
          </w:p>
        </w:tc>
      </w:tr>
      <w:tr w:rsidR="002144BA" w:rsidRPr="002144BA" w:rsidTr="00C0340B">
        <w:trPr>
          <w:trHeight w:val="971"/>
        </w:trPr>
        <w:tc>
          <w:tcPr>
            <w:tcW w:w="2056" w:type="dxa"/>
            <w:vMerge/>
            <w:vAlign w:val="center"/>
          </w:tcPr>
          <w:p w:rsidR="002144BA" w:rsidRPr="002144BA" w:rsidRDefault="002144BA" w:rsidP="00293BE4">
            <w:pPr>
              <w:jc w:val="center"/>
              <w:rPr>
                <w:rFonts w:ascii="Arial Narrow" w:hAnsi="Arial Narrow" w:cs="Arial"/>
                <w:b/>
                <w:sz w:val="20"/>
                <w:szCs w:val="22"/>
              </w:rPr>
            </w:pPr>
          </w:p>
        </w:tc>
        <w:tc>
          <w:tcPr>
            <w:tcW w:w="8706" w:type="dxa"/>
            <w:gridSpan w:val="4"/>
            <w:vAlign w:val="center"/>
          </w:tcPr>
          <w:p w:rsidR="002345AF" w:rsidRPr="0047778C" w:rsidRDefault="002144BA" w:rsidP="002144BA">
            <w:pPr>
              <w:rPr>
                <w:rFonts w:ascii="Arial Narrow" w:hAnsi="Arial Narrow" w:cs="Arial"/>
                <w:color w:val="000000" w:themeColor="text1"/>
                <w:sz w:val="20"/>
                <w:szCs w:val="22"/>
              </w:rPr>
            </w:pPr>
            <w:r w:rsidRPr="0047778C">
              <w:rPr>
                <w:rFonts w:ascii="Arial Narrow" w:hAnsi="Arial Narrow" w:cs="Arial"/>
                <w:b/>
                <w:i/>
                <w:color w:val="000000" w:themeColor="text1"/>
                <w:sz w:val="20"/>
                <w:szCs w:val="22"/>
              </w:rPr>
              <w:t>Writing</w:t>
            </w:r>
            <w:r w:rsidRPr="0047778C">
              <w:rPr>
                <w:rFonts w:ascii="Arial Narrow" w:hAnsi="Arial Narrow" w:cs="Arial"/>
                <w:i/>
                <w:color w:val="000000" w:themeColor="text1"/>
                <w:sz w:val="20"/>
                <w:szCs w:val="22"/>
              </w:rPr>
              <w:t xml:space="preserve"> </w:t>
            </w:r>
            <w:r w:rsidRPr="0047778C">
              <w:rPr>
                <w:rFonts w:ascii="Arial Narrow" w:hAnsi="Arial Narrow" w:cs="Arial"/>
                <w:color w:val="000000" w:themeColor="text1"/>
                <w:sz w:val="20"/>
                <w:szCs w:val="22"/>
              </w:rPr>
              <w:t>sessions will c</w:t>
            </w:r>
            <w:r w:rsidR="002345AF" w:rsidRPr="0047778C">
              <w:rPr>
                <w:rFonts w:ascii="Arial Narrow" w:hAnsi="Arial Narrow" w:cs="Arial"/>
                <w:color w:val="000000" w:themeColor="text1"/>
                <w:sz w:val="20"/>
                <w:szCs w:val="22"/>
              </w:rPr>
              <w:t>oncentrate on the processes of p</w:t>
            </w:r>
            <w:r w:rsidRPr="0047778C">
              <w:rPr>
                <w:rFonts w:ascii="Arial Narrow" w:hAnsi="Arial Narrow" w:cs="Arial"/>
                <w:color w:val="000000" w:themeColor="text1"/>
                <w:sz w:val="20"/>
                <w:szCs w:val="22"/>
              </w:rPr>
              <w:t xml:space="preserve">lanning, </w:t>
            </w:r>
            <w:r w:rsidR="002345AF" w:rsidRPr="0047778C">
              <w:rPr>
                <w:rFonts w:ascii="Arial Narrow" w:hAnsi="Arial Narrow" w:cs="Arial"/>
                <w:color w:val="000000" w:themeColor="text1"/>
                <w:sz w:val="20"/>
                <w:szCs w:val="22"/>
              </w:rPr>
              <w:t>writing and recording, revising and editing, and p</w:t>
            </w:r>
            <w:r w:rsidRPr="0047778C">
              <w:rPr>
                <w:rFonts w:ascii="Arial Narrow" w:hAnsi="Arial Narrow" w:cs="Arial"/>
                <w:color w:val="000000" w:themeColor="text1"/>
                <w:sz w:val="20"/>
                <w:szCs w:val="22"/>
              </w:rPr>
              <w:t>ublishing. Students will use the ‘7 Steps for Writing Success’ program to ass</w:t>
            </w:r>
            <w:r w:rsidR="0047778C" w:rsidRPr="0047778C">
              <w:rPr>
                <w:rFonts w:ascii="Arial Narrow" w:hAnsi="Arial Narrow" w:cs="Arial"/>
                <w:color w:val="000000" w:themeColor="text1"/>
                <w:sz w:val="20"/>
                <w:szCs w:val="22"/>
              </w:rPr>
              <w:t>ist them in developing these skills, with a focus on writing information texts.</w:t>
            </w:r>
          </w:p>
          <w:p w:rsidR="0047778C" w:rsidRPr="0047778C" w:rsidRDefault="0047778C" w:rsidP="002144BA">
            <w:pPr>
              <w:rPr>
                <w:rFonts w:ascii="Arial Narrow" w:hAnsi="Arial Narrow" w:cs="Arial"/>
                <w:color w:val="000000" w:themeColor="text1"/>
                <w:sz w:val="20"/>
                <w:szCs w:val="22"/>
              </w:rPr>
            </w:pPr>
          </w:p>
          <w:p w:rsidR="003E0A6F" w:rsidRPr="0047778C" w:rsidRDefault="002345AF" w:rsidP="0047778C">
            <w:pPr>
              <w:rPr>
                <w:rFonts w:ascii="Arial Narrow" w:hAnsi="Arial Narrow" w:cs="Arial"/>
                <w:color w:val="FF0000"/>
                <w:sz w:val="20"/>
                <w:szCs w:val="22"/>
              </w:rPr>
            </w:pPr>
            <w:r w:rsidRPr="0047778C">
              <w:rPr>
                <w:rFonts w:ascii="Arial Narrow" w:hAnsi="Arial Narrow" w:cs="Arial"/>
                <w:color w:val="000000" w:themeColor="text1"/>
                <w:sz w:val="20"/>
                <w:szCs w:val="22"/>
              </w:rPr>
              <w:t xml:space="preserve">Students will also </w:t>
            </w:r>
            <w:r w:rsidR="0047778C" w:rsidRPr="0047778C">
              <w:rPr>
                <w:rFonts w:ascii="Arial Narrow" w:hAnsi="Arial Narrow" w:cs="Arial"/>
                <w:color w:val="000000" w:themeColor="text1"/>
                <w:sz w:val="20"/>
                <w:szCs w:val="22"/>
              </w:rPr>
              <w:t>use a writer’s notebook to gather and develop their ideas and plan their writing. These notebooks will be personalised by each student</w:t>
            </w:r>
            <w:r w:rsidR="0047778C">
              <w:rPr>
                <w:rFonts w:ascii="Arial Narrow" w:hAnsi="Arial Narrow" w:cs="Arial"/>
                <w:color w:val="000000" w:themeColor="text1"/>
                <w:sz w:val="20"/>
                <w:szCs w:val="22"/>
              </w:rPr>
              <w:t xml:space="preserve"> as a way of engaging students in their writing. </w:t>
            </w:r>
          </w:p>
        </w:tc>
      </w:tr>
      <w:tr w:rsidR="002144BA" w:rsidRPr="002144BA" w:rsidTr="00C0340B">
        <w:trPr>
          <w:trHeight w:val="1005"/>
        </w:trPr>
        <w:tc>
          <w:tcPr>
            <w:tcW w:w="2056" w:type="dxa"/>
            <w:vMerge/>
            <w:vAlign w:val="center"/>
          </w:tcPr>
          <w:p w:rsidR="002144BA" w:rsidRPr="002144BA" w:rsidRDefault="002144BA" w:rsidP="00293BE4">
            <w:pPr>
              <w:jc w:val="center"/>
              <w:rPr>
                <w:rFonts w:ascii="Arial Narrow" w:hAnsi="Arial Narrow" w:cs="Arial"/>
                <w:b/>
                <w:sz w:val="20"/>
                <w:szCs w:val="22"/>
              </w:rPr>
            </w:pPr>
          </w:p>
        </w:tc>
        <w:tc>
          <w:tcPr>
            <w:tcW w:w="8706" w:type="dxa"/>
            <w:gridSpan w:val="4"/>
            <w:vAlign w:val="center"/>
          </w:tcPr>
          <w:p w:rsidR="0047778C" w:rsidRDefault="002144BA" w:rsidP="0047778C">
            <w:pPr>
              <w:rPr>
                <w:rFonts w:ascii="Arial Narrow" w:hAnsi="Arial Narrow" w:cs="Arial"/>
                <w:color w:val="000000" w:themeColor="text1"/>
                <w:sz w:val="20"/>
                <w:szCs w:val="22"/>
              </w:rPr>
            </w:pPr>
            <w:r w:rsidRPr="0047778C">
              <w:rPr>
                <w:rFonts w:ascii="Arial Narrow" w:hAnsi="Arial Narrow" w:cs="Arial"/>
                <w:b/>
                <w:i/>
                <w:color w:val="000000" w:themeColor="text1"/>
                <w:sz w:val="20"/>
                <w:szCs w:val="22"/>
              </w:rPr>
              <w:t>Speaking &amp; Listening</w:t>
            </w:r>
            <w:r w:rsidRPr="0047778C">
              <w:rPr>
                <w:rFonts w:ascii="Arial Narrow" w:hAnsi="Arial Narrow" w:cs="Arial"/>
                <w:i/>
                <w:color w:val="000000" w:themeColor="text1"/>
                <w:sz w:val="20"/>
                <w:szCs w:val="22"/>
              </w:rPr>
              <w:t xml:space="preserve"> </w:t>
            </w:r>
            <w:r w:rsidR="0047778C">
              <w:rPr>
                <w:rFonts w:ascii="Arial Narrow" w:hAnsi="Arial Narrow" w:cs="Arial"/>
                <w:color w:val="000000" w:themeColor="text1"/>
                <w:sz w:val="20"/>
                <w:szCs w:val="22"/>
              </w:rPr>
              <w:t xml:space="preserve">will occur daily </w:t>
            </w:r>
            <w:r w:rsidRPr="0047778C">
              <w:rPr>
                <w:rFonts w:ascii="Arial Narrow" w:hAnsi="Arial Narrow" w:cs="Arial"/>
                <w:color w:val="000000" w:themeColor="text1"/>
                <w:sz w:val="20"/>
                <w:szCs w:val="22"/>
              </w:rPr>
              <w:t>in the classroom during sharing/reflection sessions</w:t>
            </w:r>
            <w:r w:rsidR="0047778C">
              <w:rPr>
                <w:rFonts w:ascii="Arial Narrow" w:hAnsi="Arial Narrow" w:cs="Arial"/>
                <w:color w:val="000000" w:themeColor="text1"/>
                <w:sz w:val="20"/>
                <w:szCs w:val="22"/>
              </w:rPr>
              <w:t xml:space="preserve"> and oral language activities</w:t>
            </w:r>
            <w:r w:rsidRPr="0047778C">
              <w:rPr>
                <w:rFonts w:ascii="Arial Narrow" w:hAnsi="Arial Narrow" w:cs="Arial"/>
                <w:color w:val="000000" w:themeColor="text1"/>
                <w:sz w:val="20"/>
                <w:szCs w:val="22"/>
              </w:rPr>
              <w:t xml:space="preserve">. Students will be provided with opportunities </w:t>
            </w:r>
            <w:r w:rsidR="0047778C">
              <w:rPr>
                <w:rFonts w:ascii="Arial Narrow" w:hAnsi="Arial Narrow" w:cs="Arial"/>
                <w:color w:val="000000" w:themeColor="text1"/>
                <w:sz w:val="20"/>
                <w:szCs w:val="22"/>
              </w:rPr>
              <w:t xml:space="preserve">to discuss what they have learnt and voice their thoughts and opinions about a range of topics. </w:t>
            </w:r>
          </w:p>
          <w:p w:rsidR="0047778C" w:rsidRDefault="0047778C" w:rsidP="0047778C">
            <w:pPr>
              <w:rPr>
                <w:rFonts w:ascii="Arial Narrow" w:hAnsi="Arial Narrow" w:cs="Arial"/>
                <w:color w:val="000000" w:themeColor="text1"/>
                <w:sz w:val="20"/>
                <w:szCs w:val="22"/>
              </w:rPr>
            </w:pPr>
          </w:p>
          <w:p w:rsidR="00837CAC" w:rsidRPr="0047778C" w:rsidRDefault="0047778C" w:rsidP="00DD499A">
            <w:pPr>
              <w:rPr>
                <w:rFonts w:ascii="Arial Narrow" w:hAnsi="Arial Narrow" w:cs="Arial"/>
                <w:color w:val="000000" w:themeColor="text1"/>
                <w:sz w:val="20"/>
                <w:szCs w:val="22"/>
              </w:rPr>
            </w:pPr>
            <w:r>
              <w:rPr>
                <w:rFonts w:ascii="Arial Narrow" w:hAnsi="Arial Narrow" w:cs="Arial"/>
                <w:color w:val="000000" w:themeColor="text1"/>
                <w:sz w:val="20"/>
                <w:szCs w:val="22"/>
              </w:rPr>
              <w:t>Students will also</w:t>
            </w:r>
            <w:r w:rsidR="002144BA" w:rsidRPr="0047778C">
              <w:rPr>
                <w:rFonts w:ascii="Arial Narrow" w:hAnsi="Arial Narrow" w:cs="Arial"/>
                <w:color w:val="000000" w:themeColor="text1"/>
                <w:sz w:val="20"/>
                <w:szCs w:val="22"/>
              </w:rPr>
              <w:t xml:space="preserve"> enhance </w:t>
            </w:r>
            <w:r w:rsidRPr="0047778C">
              <w:rPr>
                <w:rFonts w:ascii="Arial Narrow" w:hAnsi="Arial Narrow" w:cs="Arial"/>
                <w:color w:val="000000" w:themeColor="text1"/>
                <w:sz w:val="20"/>
                <w:szCs w:val="22"/>
              </w:rPr>
              <w:t>their speaking and listening</w:t>
            </w:r>
            <w:r w:rsidR="002144BA" w:rsidRPr="0047778C">
              <w:rPr>
                <w:rFonts w:ascii="Arial Narrow" w:hAnsi="Arial Narrow" w:cs="Arial"/>
                <w:color w:val="000000" w:themeColor="text1"/>
                <w:sz w:val="20"/>
                <w:szCs w:val="22"/>
              </w:rPr>
              <w:t xml:space="preserve"> skills </w:t>
            </w:r>
            <w:r w:rsidR="00DD499A">
              <w:rPr>
                <w:rFonts w:ascii="Arial Narrow" w:hAnsi="Arial Narrow" w:cs="Arial"/>
                <w:color w:val="000000" w:themeColor="text1"/>
                <w:sz w:val="20"/>
                <w:szCs w:val="22"/>
              </w:rPr>
              <w:t>through their participation</w:t>
            </w:r>
            <w:r w:rsidR="002144BA" w:rsidRPr="0047778C">
              <w:rPr>
                <w:rFonts w:ascii="Arial Narrow" w:hAnsi="Arial Narrow" w:cs="Arial"/>
                <w:color w:val="000000" w:themeColor="text1"/>
                <w:sz w:val="20"/>
                <w:szCs w:val="22"/>
              </w:rPr>
              <w:t xml:space="preserve"> in </w:t>
            </w:r>
            <w:r w:rsidR="00DD499A">
              <w:rPr>
                <w:rFonts w:ascii="Arial Narrow" w:hAnsi="Arial Narrow" w:cs="Arial"/>
                <w:color w:val="000000" w:themeColor="text1"/>
                <w:sz w:val="20"/>
                <w:szCs w:val="22"/>
              </w:rPr>
              <w:t>oral presentations for</w:t>
            </w:r>
            <w:r w:rsidR="002144BA" w:rsidRPr="0047778C">
              <w:rPr>
                <w:rFonts w:ascii="Arial Narrow" w:hAnsi="Arial Narrow" w:cs="Arial"/>
                <w:color w:val="000000" w:themeColor="text1"/>
                <w:sz w:val="20"/>
                <w:szCs w:val="22"/>
              </w:rPr>
              <w:t xml:space="preserve"> our </w:t>
            </w:r>
            <w:r w:rsidR="002345AF" w:rsidRPr="0047778C">
              <w:rPr>
                <w:rFonts w:ascii="Arial Narrow" w:hAnsi="Arial Narrow" w:cs="Arial"/>
                <w:color w:val="000000" w:themeColor="text1"/>
                <w:sz w:val="20"/>
                <w:szCs w:val="22"/>
              </w:rPr>
              <w:t xml:space="preserve">Geography Inquiry unit, </w:t>
            </w:r>
            <w:r w:rsidR="00DD499A">
              <w:rPr>
                <w:rFonts w:ascii="Arial Narrow" w:hAnsi="Arial Narrow" w:cs="Arial"/>
                <w:color w:val="000000" w:themeColor="text1"/>
                <w:sz w:val="20"/>
                <w:szCs w:val="22"/>
              </w:rPr>
              <w:t xml:space="preserve">Australia, </w:t>
            </w:r>
            <w:r w:rsidR="002345AF" w:rsidRPr="0047778C">
              <w:rPr>
                <w:rFonts w:ascii="Arial Narrow" w:hAnsi="Arial Narrow" w:cs="Arial"/>
                <w:color w:val="000000" w:themeColor="text1"/>
                <w:sz w:val="20"/>
                <w:szCs w:val="22"/>
              </w:rPr>
              <w:t xml:space="preserve">where they will have the opportunity to share their learning with their peers. </w:t>
            </w:r>
            <w:r w:rsidR="00837CAC" w:rsidRPr="0047778C">
              <w:rPr>
                <w:rFonts w:ascii="Arial Narrow" w:hAnsi="Arial Narrow" w:cs="Arial"/>
                <w:color w:val="000000" w:themeColor="text1"/>
                <w:sz w:val="20"/>
                <w:szCs w:val="22"/>
              </w:rPr>
              <w:t xml:space="preserve"> </w:t>
            </w:r>
          </w:p>
        </w:tc>
      </w:tr>
      <w:tr w:rsidR="002144BA" w:rsidRPr="002144BA" w:rsidTr="00DD499A">
        <w:trPr>
          <w:trHeight w:val="660"/>
        </w:trPr>
        <w:tc>
          <w:tcPr>
            <w:tcW w:w="2056" w:type="dxa"/>
            <w:vMerge/>
            <w:vAlign w:val="center"/>
          </w:tcPr>
          <w:p w:rsidR="002144BA" w:rsidRPr="002144BA" w:rsidRDefault="002144BA" w:rsidP="00293BE4">
            <w:pPr>
              <w:jc w:val="center"/>
              <w:rPr>
                <w:rFonts w:ascii="Arial Narrow" w:hAnsi="Arial Narrow" w:cs="Arial"/>
                <w:b/>
                <w:sz w:val="20"/>
                <w:szCs w:val="22"/>
              </w:rPr>
            </w:pPr>
          </w:p>
        </w:tc>
        <w:tc>
          <w:tcPr>
            <w:tcW w:w="8706" w:type="dxa"/>
            <w:gridSpan w:val="4"/>
          </w:tcPr>
          <w:p w:rsidR="002144BA" w:rsidRPr="00DD499A" w:rsidRDefault="002144BA" w:rsidP="00DD499A">
            <w:pPr>
              <w:rPr>
                <w:rFonts w:ascii="Arial Narrow" w:hAnsi="Arial Narrow" w:cs="Arial"/>
                <w:color w:val="000000" w:themeColor="text1"/>
                <w:sz w:val="20"/>
                <w:szCs w:val="22"/>
                <w:highlight w:val="yellow"/>
              </w:rPr>
            </w:pPr>
            <w:r w:rsidRPr="00DD499A">
              <w:rPr>
                <w:rFonts w:ascii="Arial Narrow" w:hAnsi="Arial Narrow" w:cs="Arial"/>
                <w:b/>
                <w:i/>
                <w:color w:val="000000" w:themeColor="text1"/>
                <w:sz w:val="20"/>
                <w:szCs w:val="22"/>
              </w:rPr>
              <w:t>Spelling</w:t>
            </w:r>
            <w:r w:rsidRPr="00DD499A">
              <w:rPr>
                <w:rFonts w:ascii="Arial Narrow" w:hAnsi="Arial Narrow" w:cs="Arial"/>
                <w:i/>
                <w:color w:val="000000" w:themeColor="text1"/>
                <w:sz w:val="20"/>
                <w:szCs w:val="22"/>
              </w:rPr>
              <w:t xml:space="preserve"> </w:t>
            </w:r>
            <w:r w:rsidRPr="00DD499A">
              <w:rPr>
                <w:rFonts w:ascii="Arial Narrow" w:hAnsi="Arial Narrow" w:cs="Arial"/>
                <w:color w:val="000000" w:themeColor="text1"/>
                <w:sz w:val="20"/>
                <w:szCs w:val="22"/>
              </w:rPr>
              <w:t xml:space="preserve">is a part of the writing process. Students </w:t>
            </w:r>
            <w:r w:rsidR="00DD499A" w:rsidRPr="00DD499A">
              <w:rPr>
                <w:rFonts w:ascii="Arial Narrow" w:hAnsi="Arial Narrow" w:cs="Arial"/>
                <w:color w:val="000000" w:themeColor="text1"/>
                <w:sz w:val="20"/>
                <w:szCs w:val="22"/>
              </w:rPr>
              <w:t>will be exposed to classroom</w:t>
            </w:r>
            <w:r w:rsidRPr="00DD499A">
              <w:rPr>
                <w:rFonts w:ascii="Arial Narrow" w:hAnsi="Arial Narrow" w:cs="Arial"/>
                <w:color w:val="000000" w:themeColor="text1"/>
                <w:sz w:val="20"/>
                <w:szCs w:val="22"/>
              </w:rPr>
              <w:t xml:space="preserve"> word wall</w:t>
            </w:r>
            <w:r w:rsidR="00DD499A" w:rsidRPr="00DD499A">
              <w:rPr>
                <w:rFonts w:ascii="Arial Narrow" w:hAnsi="Arial Narrow" w:cs="Arial"/>
                <w:color w:val="000000" w:themeColor="text1"/>
                <w:sz w:val="20"/>
                <w:szCs w:val="22"/>
              </w:rPr>
              <w:t>s</w:t>
            </w:r>
            <w:r w:rsidRPr="00DD499A">
              <w:rPr>
                <w:rFonts w:ascii="Arial Narrow" w:hAnsi="Arial Narrow" w:cs="Arial"/>
                <w:color w:val="000000" w:themeColor="text1"/>
                <w:sz w:val="20"/>
                <w:szCs w:val="22"/>
              </w:rPr>
              <w:t xml:space="preserve"> which </w:t>
            </w:r>
            <w:r w:rsidR="00DD499A" w:rsidRPr="00DD499A">
              <w:rPr>
                <w:rFonts w:ascii="Arial Narrow" w:hAnsi="Arial Narrow" w:cs="Arial"/>
                <w:color w:val="000000" w:themeColor="text1"/>
                <w:sz w:val="20"/>
                <w:szCs w:val="22"/>
              </w:rPr>
              <w:t>will display words from our</w:t>
            </w:r>
            <w:r w:rsidRPr="00DD499A">
              <w:rPr>
                <w:rFonts w:ascii="Arial Narrow" w:hAnsi="Arial Narrow" w:cs="Arial"/>
                <w:color w:val="000000" w:themeColor="text1"/>
                <w:sz w:val="20"/>
                <w:szCs w:val="22"/>
              </w:rPr>
              <w:t xml:space="preserve"> </w:t>
            </w:r>
            <w:r w:rsidR="00DD499A" w:rsidRPr="00DD499A">
              <w:rPr>
                <w:rFonts w:ascii="Arial Narrow" w:hAnsi="Arial Narrow" w:cs="Arial"/>
                <w:color w:val="000000" w:themeColor="text1"/>
                <w:sz w:val="20"/>
                <w:szCs w:val="22"/>
              </w:rPr>
              <w:t>Inquiry Unit</w:t>
            </w:r>
            <w:r w:rsidR="00DD499A">
              <w:rPr>
                <w:rFonts w:ascii="Arial Narrow" w:hAnsi="Arial Narrow" w:cs="Arial"/>
                <w:color w:val="000000" w:themeColor="text1"/>
                <w:sz w:val="20"/>
                <w:szCs w:val="22"/>
              </w:rPr>
              <w:t>, Australia</w:t>
            </w:r>
            <w:r w:rsidRPr="00DD499A">
              <w:rPr>
                <w:rFonts w:ascii="Arial Narrow" w:hAnsi="Arial Narrow" w:cs="Arial"/>
                <w:color w:val="000000" w:themeColor="text1"/>
                <w:sz w:val="20"/>
                <w:szCs w:val="22"/>
              </w:rPr>
              <w:t>. Spelling skills and strategies will be developed through s</w:t>
            </w:r>
            <w:r w:rsidR="00DD499A" w:rsidRPr="00DD499A">
              <w:rPr>
                <w:rFonts w:ascii="Arial Narrow" w:hAnsi="Arial Narrow" w:cs="Arial"/>
                <w:color w:val="000000" w:themeColor="text1"/>
                <w:sz w:val="20"/>
                <w:szCs w:val="22"/>
              </w:rPr>
              <w:t xml:space="preserve">pelling investigations each week, focusing on sounds relevant to students’ developmental stage. These focuses will be integrated into writing and reading sessions. </w:t>
            </w:r>
          </w:p>
        </w:tc>
      </w:tr>
      <w:tr w:rsidR="002144BA" w:rsidRPr="002144BA" w:rsidTr="002968D0">
        <w:trPr>
          <w:trHeight w:val="1405"/>
        </w:trPr>
        <w:tc>
          <w:tcPr>
            <w:tcW w:w="2056" w:type="dxa"/>
            <w:vAlign w:val="center"/>
          </w:tcPr>
          <w:p w:rsidR="002144BA" w:rsidRPr="002144BA" w:rsidRDefault="002144BA" w:rsidP="00293BE4">
            <w:pPr>
              <w:jc w:val="center"/>
              <w:rPr>
                <w:rFonts w:ascii="Arial Narrow" w:hAnsi="Arial Narrow" w:cs="Arial"/>
                <w:b/>
                <w:sz w:val="20"/>
                <w:szCs w:val="22"/>
                <w:u w:val="single"/>
              </w:rPr>
            </w:pPr>
            <w:r w:rsidRPr="002144BA">
              <w:rPr>
                <w:rFonts w:ascii="Arial Narrow" w:hAnsi="Arial Narrow" w:cs="Arial"/>
                <w:b/>
                <w:sz w:val="20"/>
                <w:szCs w:val="22"/>
                <w:u w:val="single"/>
              </w:rPr>
              <w:t>Mathematics:</w:t>
            </w:r>
          </w:p>
          <w:p w:rsidR="002144BA" w:rsidRPr="002144BA" w:rsidRDefault="002144BA" w:rsidP="00293BE4">
            <w:pPr>
              <w:rPr>
                <w:rFonts w:ascii="Arial Narrow" w:hAnsi="Arial Narrow" w:cs="Arial"/>
                <w:sz w:val="20"/>
                <w:szCs w:val="22"/>
              </w:rPr>
            </w:pPr>
          </w:p>
          <w:p w:rsidR="002144BA" w:rsidRPr="002144BA" w:rsidRDefault="002144BA" w:rsidP="00293BE4">
            <w:pPr>
              <w:rPr>
                <w:rFonts w:ascii="Arial Narrow" w:hAnsi="Arial Narrow" w:cs="Arial"/>
                <w:sz w:val="20"/>
                <w:szCs w:val="22"/>
              </w:rPr>
            </w:pPr>
          </w:p>
          <w:p w:rsidR="002144BA" w:rsidRPr="002144BA" w:rsidRDefault="002144BA" w:rsidP="00293BE4">
            <w:pPr>
              <w:rPr>
                <w:rFonts w:ascii="Arial Narrow" w:hAnsi="Arial Narrow" w:cs="Arial"/>
                <w:sz w:val="20"/>
                <w:szCs w:val="22"/>
              </w:rPr>
            </w:pPr>
          </w:p>
          <w:p w:rsidR="002144BA" w:rsidRPr="002144BA" w:rsidRDefault="002144BA" w:rsidP="00293BE4">
            <w:pPr>
              <w:rPr>
                <w:rFonts w:ascii="Arial Narrow" w:hAnsi="Arial Narrow" w:cs="Arial"/>
                <w:sz w:val="20"/>
                <w:szCs w:val="22"/>
              </w:rPr>
            </w:pPr>
          </w:p>
          <w:p w:rsidR="002144BA" w:rsidRPr="002144BA" w:rsidRDefault="002144BA" w:rsidP="00293BE4">
            <w:pPr>
              <w:rPr>
                <w:rFonts w:ascii="Arial Narrow" w:hAnsi="Arial Narrow" w:cs="Arial"/>
                <w:sz w:val="20"/>
                <w:szCs w:val="22"/>
              </w:rPr>
            </w:pPr>
          </w:p>
        </w:tc>
        <w:tc>
          <w:tcPr>
            <w:tcW w:w="2929" w:type="dxa"/>
          </w:tcPr>
          <w:p w:rsidR="00CC4720" w:rsidRPr="002144BA" w:rsidRDefault="002144BA" w:rsidP="00293BE4">
            <w:pPr>
              <w:rPr>
                <w:rFonts w:ascii="Arial Narrow" w:hAnsi="Arial Narrow" w:cs="Arial"/>
                <w:i/>
                <w:sz w:val="20"/>
                <w:szCs w:val="22"/>
              </w:rPr>
            </w:pPr>
            <w:r w:rsidRPr="002144BA">
              <w:rPr>
                <w:rFonts w:ascii="Arial Narrow" w:hAnsi="Arial Narrow" w:cs="Arial"/>
                <w:b/>
                <w:i/>
                <w:sz w:val="20"/>
                <w:szCs w:val="22"/>
              </w:rPr>
              <w:t>Number</w:t>
            </w:r>
            <w:r w:rsidRPr="002144BA">
              <w:rPr>
                <w:rFonts w:ascii="Arial Narrow" w:hAnsi="Arial Narrow" w:cs="Arial"/>
                <w:i/>
                <w:sz w:val="20"/>
                <w:szCs w:val="22"/>
              </w:rPr>
              <w:t xml:space="preserve">:  </w:t>
            </w:r>
          </w:p>
          <w:p w:rsidR="00CC4720" w:rsidRDefault="00C0340B" w:rsidP="00CC4720">
            <w:pPr>
              <w:numPr>
                <w:ilvl w:val="0"/>
                <w:numId w:val="1"/>
              </w:numPr>
              <w:rPr>
                <w:rFonts w:ascii="Arial Narrow" w:hAnsi="Arial Narrow" w:cs="Arial"/>
                <w:sz w:val="20"/>
                <w:szCs w:val="22"/>
              </w:rPr>
            </w:pPr>
            <w:r>
              <w:rPr>
                <w:rFonts w:ascii="Arial Narrow" w:hAnsi="Arial Narrow" w:cs="Arial"/>
                <w:sz w:val="20"/>
                <w:szCs w:val="22"/>
              </w:rPr>
              <w:t>Place Value</w:t>
            </w:r>
          </w:p>
          <w:p w:rsidR="00C0340B" w:rsidRDefault="00C0340B" w:rsidP="00CC4720">
            <w:pPr>
              <w:numPr>
                <w:ilvl w:val="0"/>
                <w:numId w:val="1"/>
              </w:numPr>
              <w:rPr>
                <w:rFonts w:ascii="Arial Narrow" w:hAnsi="Arial Narrow" w:cs="Arial"/>
                <w:sz w:val="20"/>
                <w:szCs w:val="22"/>
              </w:rPr>
            </w:pPr>
            <w:r>
              <w:rPr>
                <w:rFonts w:ascii="Arial Narrow" w:hAnsi="Arial Narrow" w:cs="Arial"/>
                <w:sz w:val="20"/>
                <w:szCs w:val="22"/>
              </w:rPr>
              <w:t>Renaming</w:t>
            </w:r>
          </w:p>
          <w:p w:rsidR="00C0340B" w:rsidRDefault="00C0340B" w:rsidP="00CC4720">
            <w:pPr>
              <w:numPr>
                <w:ilvl w:val="0"/>
                <w:numId w:val="1"/>
              </w:numPr>
              <w:rPr>
                <w:rFonts w:ascii="Arial Narrow" w:hAnsi="Arial Narrow" w:cs="Arial"/>
                <w:sz w:val="20"/>
                <w:szCs w:val="22"/>
              </w:rPr>
            </w:pPr>
            <w:r>
              <w:rPr>
                <w:rFonts w:ascii="Arial Narrow" w:hAnsi="Arial Narrow" w:cs="Arial"/>
                <w:sz w:val="20"/>
                <w:szCs w:val="22"/>
              </w:rPr>
              <w:t xml:space="preserve">Rounding </w:t>
            </w:r>
          </w:p>
          <w:p w:rsidR="00C0340B" w:rsidRDefault="00C0340B" w:rsidP="00CC4720">
            <w:pPr>
              <w:numPr>
                <w:ilvl w:val="0"/>
                <w:numId w:val="1"/>
              </w:numPr>
              <w:rPr>
                <w:rFonts w:ascii="Arial Narrow" w:hAnsi="Arial Narrow" w:cs="Arial"/>
                <w:sz w:val="20"/>
                <w:szCs w:val="22"/>
              </w:rPr>
            </w:pPr>
            <w:r>
              <w:rPr>
                <w:rFonts w:ascii="Arial Narrow" w:hAnsi="Arial Narrow" w:cs="Arial"/>
                <w:sz w:val="20"/>
                <w:szCs w:val="22"/>
              </w:rPr>
              <w:t>Expanding numbers</w:t>
            </w:r>
          </w:p>
          <w:p w:rsidR="00DC19F4" w:rsidRPr="002968D0" w:rsidRDefault="00C0340B" w:rsidP="00CC4720">
            <w:pPr>
              <w:numPr>
                <w:ilvl w:val="0"/>
                <w:numId w:val="1"/>
              </w:numPr>
              <w:rPr>
                <w:rFonts w:ascii="Arial Narrow" w:hAnsi="Arial Narrow" w:cs="Arial"/>
                <w:sz w:val="20"/>
                <w:szCs w:val="22"/>
              </w:rPr>
            </w:pPr>
            <w:r>
              <w:rPr>
                <w:rFonts w:ascii="Arial Narrow" w:hAnsi="Arial Narrow" w:cs="Arial"/>
                <w:sz w:val="20"/>
                <w:szCs w:val="22"/>
              </w:rPr>
              <w:t>Counting</w:t>
            </w:r>
          </w:p>
        </w:tc>
        <w:tc>
          <w:tcPr>
            <w:tcW w:w="3037" w:type="dxa"/>
            <w:gridSpan w:val="2"/>
          </w:tcPr>
          <w:p w:rsidR="00CC4720" w:rsidRDefault="00CC4720" w:rsidP="00293BE4">
            <w:pPr>
              <w:rPr>
                <w:rFonts w:ascii="Arial Narrow" w:hAnsi="Arial Narrow" w:cs="Arial"/>
                <w:b/>
                <w:i/>
                <w:sz w:val="20"/>
                <w:szCs w:val="22"/>
              </w:rPr>
            </w:pPr>
            <w:r>
              <w:rPr>
                <w:rFonts w:ascii="Arial Narrow" w:hAnsi="Arial Narrow" w:cs="Arial"/>
                <w:b/>
                <w:i/>
                <w:sz w:val="20"/>
                <w:szCs w:val="22"/>
              </w:rPr>
              <w:t xml:space="preserve">Measurement and Geometry: </w:t>
            </w:r>
          </w:p>
          <w:p w:rsidR="002144BA" w:rsidRDefault="00DC19F4" w:rsidP="00DC19F4">
            <w:pPr>
              <w:pStyle w:val="ListParagraph"/>
              <w:numPr>
                <w:ilvl w:val="0"/>
                <w:numId w:val="7"/>
              </w:numPr>
              <w:ind w:left="150" w:hanging="150"/>
              <w:rPr>
                <w:rFonts w:ascii="Arial Narrow" w:hAnsi="Arial Narrow" w:cs="Arial"/>
                <w:sz w:val="20"/>
              </w:rPr>
            </w:pPr>
            <w:r>
              <w:rPr>
                <w:rFonts w:ascii="Arial Narrow" w:hAnsi="Arial Narrow" w:cs="Arial"/>
                <w:sz w:val="20"/>
              </w:rPr>
              <w:t>Time</w:t>
            </w:r>
          </w:p>
          <w:p w:rsidR="00DC19F4" w:rsidRPr="00C0340B" w:rsidRDefault="00C0340B" w:rsidP="00C0340B">
            <w:pPr>
              <w:pStyle w:val="ListParagraph"/>
              <w:numPr>
                <w:ilvl w:val="0"/>
                <w:numId w:val="7"/>
              </w:numPr>
              <w:ind w:left="150" w:hanging="150"/>
              <w:rPr>
                <w:rFonts w:ascii="Arial Narrow" w:hAnsi="Arial Narrow" w:cs="Arial"/>
                <w:sz w:val="20"/>
              </w:rPr>
            </w:pPr>
            <w:r>
              <w:rPr>
                <w:rFonts w:ascii="Arial Narrow" w:hAnsi="Arial Narrow" w:cs="Arial"/>
                <w:sz w:val="20"/>
              </w:rPr>
              <w:t>Temperature</w:t>
            </w:r>
          </w:p>
        </w:tc>
        <w:tc>
          <w:tcPr>
            <w:tcW w:w="2740" w:type="dxa"/>
          </w:tcPr>
          <w:p w:rsidR="00DC19F4" w:rsidRPr="002144BA" w:rsidRDefault="002144BA" w:rsidP="00293BE4">
            <w:pPr>
              <w:rPr>
                <w:rFonts w:ascii="Arial Narrow" w:hAnsi="Arial Narrow" w:cs="Arial"/>
                <w:b/>
                <w:i/>
                <w:sz w:val="20"/>
                <w:szCs w:val="22"/>
              </w:rPr>
            </w:pPr>
            <w:r w:rsidRPr="002144BA">
              <w:rPr>
                <w:rFonts w:ascii="Arial Narrow" w:hAnsi="Arial Narrow" w:cs="Arial"/>
                <w:b/>
                <w:i/>
                <w:sz w:val="20"/>
                <w:szCs w:val="22"/>
              </w:rPr>
              <w:t>Statistics and Probability:</w:t>
            </w:r>
          </w:p>
          <w:p w:rsidR="002144BA" w:rsidRPr="00633D35" w:rsidRDefault="00DC19F4" w:rsidP="00293BE4">
            <w:pPr>
              <w:pStyle w:val="ListParagraph"/>
              <w:numPr>
                <w:ilvl w:val="0"/>
                <w:numId w:val="8"/>
              </w:numPr>
              <w:ind w:left="228" w:hanging="228"/>
              <w:rPr>
                <w:rFonts w:ascii="Arial Narrow" w:hAnsi="Arial Narrow" w:cs="Arial"/>
                <w:b/>
                <w:i/>
                <w:sz w:val="20"/>
              </w:rPr>
            </w:pPr>
            <w:r>
              <w:rPr>
                <w:rFonts w:ascii="Arial Narrow" w:hAnsi="Arial Narrow" w:cs="Arial"/>
                <w:sz w:val="20"/>
              </w:rPr>
              <w:t>Data</w:t>
            </w:r>
            <w:r w:rsidR="00633D35">
              <w:rPr>
                <w:rFonts w:ascii="Arial Narrow" w:hAnsi="Arial Narrow" w:cs="Arial"/>
                <w:sz w:val="20"/>
              </w:rPr>
              <w:t xml:space="preserve"> (tracking temperatures)</w:t>
            </w:r>
          </w:p>
          <w:p w:rsidR="00633D35" w:rsidRPr="00C0340B" w:rsidRDefault="00633D35" w:rsidP="00293BE4">
            <w:pPr>
              <w:pStyle w:val="ListParagraph"/>
              <w:numPr>
                <w:ilvl w:val="0"/>
                <w:numId w:val="8"/>
              </w:numPr>
              <w:ind w:left="228" w:hanging="228"/>
              <w:rPr>
                <w:rFonts w:ascii="Arial Narrow" w:hAnsi="Arial Narrow" w:cs="Arial"/>
                <w:b/>
                <w:i/>
                <w:sz w:val="20"/>
              </w:rPr>
            </w:pPr>
            <w:r>
              <w:rPr>
                <w:rFonts w:ascii="Arial Narrow" w:hAnsi="Arial Narrow" w:cs="Arial"/>
                <w:sz w:val="20"/>
              </w:rPr>
              <w:t>Location (link to Inquiry unit)</w:t>
            </w:r>
          </w:p>
          <w:p w:rsidR="002144BA" w:rsidRPr="002144BA" w:rsidRDefault="002144BA" w:rsidP="00293BE4">
            <w:pPr>
              <w:rPr>
                <w:rFonts w:ascii="Arial Narrow" w:hAnsi="Arial Narrow" w:cs="Arial"/>
                <w:b/>
                <w:i/>
                <w:sz w:val="20"/>
                <w:szCs w:val="22"/>
              </w:rPr>
            </w:pPr>
          </w:p>
        </w:tc>
      </w:tr>
      <w:tr w:rsidR="002144BA" w:rsidRPr="002144BA" w:rsidTr="00C0340B">
        <w:trPr>
          <w:trHeight w:val="1365"/>
        </w:trPr>
        <w:tc>
          <w:tcPr>
            <w:tcW w:w="2056" w:type="dxa"/>
            <w:vAlign w:val="center"/>
          </w:tcPr>
          <w:p w:rsidR="002144BA" w:rsidRPr="002144BA" w:rsidRDefault="002144BA" w:rsidP="00293BE4">
            <w:pPr>
              <w:jc w:val="center"/>
              <w:rPr>
                <w:rFonts w:ascii="Arial Narrow" w:hAnsi="Arial Narrow" w:cs="Arial"/>
                <w:b/>
                <w:sz w:val="20"/>
                <w:szCs w:val="22"/>
              </w:rPr>
            </w:pPr>
            <w:r w:rsidRPr="002144BA">
              <w:rPr>
                <w:rFonts w:ascii="Arial Narrow" w:hAnsi="Arial Narrow" w:cs="Arial"/>
                <w:b/>
                <w:sz w:val="20"/>
                <w:szCs w:val="22"/>
                <w:u w:val="single"/>
              </w:rPr>
              <w:t>Inquiry Learning:</w:t>
            </w:r>
          </w:p>
        </w:tc>
        <w:tc>
          <w:tcPr>
            <w:tcW w:w="8706" w:type="dxa"/>
            <w:gridSpan w:val="4"/>
            <w:vAlign w:val="center"/>
          </w:tcPr>
          <w:p w:rsidR="002144BA" w:rsidRDefault="002968D0" w:rsidP="00293BE4">
            <w:pPr>
              <w:rPr>
                <w:rFonts w:ascii="Arial Narrow" w:hAnsi="Arial Narrow" w:cs="Arial"/>
                <w:i/>
                <w:sz w:val="20"/>
                <w:szCs w:val="20"/>
              </w:rPr>
            </w:pPr>
            <w:r>
              <w:rPr>
                <w:rFonts w:ascii="Arial Narrow" w:hAnsi="Arial Narrow" w:cs="Arial"/>
                <w:sz w:val="20"/>
                <w:szCs w:val="20"/>
              </w:rPr>
              <w:t xml:space="preserve">Our Inquiry unit for Term 1 is </w:t>
            </w:r>
            <w:r>
              <w:rPr>
                <w:rFonts w:ascii="Arial Narrow" w:hAnsi="Arial Narrow" w:cs="Arial"/>
                <w:i/>
                <w:sz w:val="20"/>
                <w:szCs w:val="20"/>
              </w:rPr>
              <w:t>Australia.</w:t>
            </w:r>
          </w:p>
          <w:p w:rsidR="002968D0" w:rsidRDefault="002968D0" w:rsidP="00293BE4">
            <w:pPr>
              <w:rPr>
                <w:rFonts w:ascii="Arial Narrow" w:hAnsi="Arial Narrow" w:cs="Arial"/>
                <w:i/>
                <w:sz w:val="20"/>
                <w:szCs w:val="20"/>
              </w:rPr>
            </w:pPr>
          </w:p>
          <w:p w:rsidR="002968D0" w:rsidRPr="002968D0" w:rsidRDefault="002968D0" w:rsidP="00293BE4">
            <w:pPr>
              <w:rPr>
                <w:rFonts w:ascii="Arial Narrow" w:hAnsi="Arial Narrow" w:cs="Arial"/>
                <w:sz w:val="20"/>
                <w:szCs w:val="20"/>
              </w:rPr>
            </w:pPr>
            <w:r>
              <w:rPr>
                <w:rFonts w:ascii="Arial Narrow" w:hAnsi="Arial Narrow" w:cs="Arial"/>
                <w:sz w:val="20"/>
                <w:szCs w:val="20"/>
              </w:rPr>
              <w:t>The focus question for our unit is:</w:t>
            </w:r>
          </w:p>
          <w:p w:rsidR="002144BA" w:rsidRPr="004F1EF9" w:rsidRDefault="002968D0" w:rsidP="00293BE4">
            <w:pPr>
              <w:pStyle w:val="ListParagraph"/>
              <w:autoSpaceDE w:val="0"/>
              <w:autoSpaceDN w:val="0"/>
              <w:adjustRightInd w:val="0"/>
              <w:spacing w:after="0" w:line="240" w:lineRule="auto"/>
              <w:ind w:left="0"/>
              <w:rPr>
                <w:rFonts w:ascii="Arial Narrow" w:hAnsi="Arial Narrow" w:cs="Andalus"/>
                <w:i/>
                <w:sz w:val="20"/>
                <w:szCs w:val="20"/>
              </w:rPr>
            </w:pPr>
            <w:r>
              <w:rPr>
                <w:rFonts w:ascii="Arial Narrow" w:hAnsi="Arial Narrow" w:cs="Andalus"/>
                <w:i/>
                <w:sz w:val="20"/>
                <w:szCs w:val="20"/>
              </w:rPr>
              <w:t>Where do I live and what makes Australia unique?</w:t>
            </w:r>
          </w:p>
          <w:p w:rsidR="004F1EF9" w:rsidRPr="002144BA" w:rsidRDefault="004F1EF9" w:rsidP="00293BE4">
            <w:pPr>
              <w:pStyle w:val="ListParagraph"/>
              <w:autoSpaceDE w:val="0"/>
              <w:autoSpaceDN w:val="0"/>
              <w:adjustRightInd w:val="0"/>
              <w:spacing w:after="0" w:line="240" w:lineRule="auto"/>
              <w:ind w:left="0"/>
              <w:rPr>
                <w:rFonts w:ascii="Arial Narrow" w:hAnsi="Arial Narrow" w:cs="Arial"/>
                <w:sz w:val="20"/>
                <w:szCs w:val="20"/>
              </w:rPr>
            </w:pPr>
          </w:p>
          <w:p w:rsidR="004F1EF9" w:rsidRDefault="002144BA" w:rsidP="004F1EF9">
            <w:pPr>
              <w:rPr>
                <w:rFonts w:ascii="Arial Narrow" w:hAnsi="Arial Narrow" w:cs="Arial"/>
                <w:sz w:val="20"/>
                <w:szCs w:val="20"/>
              </w:rPr>
            </w:pPr>
            <w:r w:rsidRPr="002144BA">
              <w:rPr>
                <w:rFonts w:ascii="Arial Narrow" w:hAnsi="Arial Narrow" w:cs="Arial"/>
                <w:sz w:val="20"/>
                <w:szCs w:val="20"/>
              </w:rPr>
              <w:t xml:space="preserve">Students will </w:t>
            </w:r>
            <w:r w:rsidR="004F1EF9">
              <w:rPr>
                <w:rFonts w:ascii="Arial Narrow" w:hAnsi="Arial Narrow" w:cs="Arial"/>
                <w:sz w:val="20"/>
                <w:szCs w:val="20"/>
              </w:rPr>
              <w:t xml:space="preserve">have the opportunity to explore: </w:t>
            </w:r>
          </w:p>
          <w:p w:rsidR="00AA0036" w:rsidRDefault="002968D0" w:rsidP="004F1EF9">
            <w:pPr>
              <w:pStyle w:val="ListParagraph"/>
              <w:numPr>
                <w:ilvl w:val="0"/>
                <w:numId w:val="6"/>
              </w:numPr>
              <w:spacing w:after="0" w:line="240" w:lineRule="auto"/>
              <w:ind w:left="714" w:hanging="357"/>
              <w:rPr>
                <w:rFonts w:ascii="Arial Narrow" w:hAnsi="Arial Narrow" w:cs="Arial"/>
                <w:sz w:val="20"/>
                <w:szCs w:val="20"/>
              </w:rPr>
            </w:pPr>
            <w:r>
              <w:rPr>
                <w:rFonts w:ascii="Arial Narrow" w:hAnsi="Arial Narrow" w:cs="Arial"/>
                <w:sz w:val="20"/>
                <w:szCs w:val="20"/>
              </w:rPr>
              <w:t>Where Australia is in relation to the rest of the world;</w:t>
            </w:r>
          </w:p>
          <w:p w:rsidR="002968D0" w:rsidRDefault="002968D0" w:rsidP="004F1EF9">
            <w:pPr>
              <w:pStyle w:val="ListParagraph"/>
              <w:numPr>
                <w:ilvl w:val="0"/>
                <w:numId w:val="6"/>
              </w:numPr>
              <w:spacing w:after="0" w:line="240" w:lineRule="auto"/>
              <w:ind w:left="714" w:hanging="357"/>
              <w:rPr>
                <w:rFonts w:ascii="Arial Narrow" w:hAnsi="Arial Narrow" w:cs="Arial"/>
                <w:sz w:val="20"/>
                <w:szCs w:val="20"/>
              </w:rPr>
            </w:pPr>
            <w:r>
              <w:rPr>
                <w:rFonts w:ascii="Arial Narrow" w:hAnsi="Arial Narrow" w:cs="Arial"/>
                <w:sz w:val="20"/>
                <w:szCs w:val="20"/>
              </w:rPr>
              <w:t>The states, territories and capital cities that make up Australia;</w:t>
            </w:r>
          </w:p>
          <w:p w:rsidR="002968D0" w:rsidRDefault="002968D0" w:rsidP="002968D0">
            <w:pPr>
              <w:pStyle w:val="ListParagraph"/>
              <w:numPr>
                <w:ilvl w:val="0"/>
                <w:numId w:val="6"/>
              </w:numPr>
              <w:spacing w:after="0" w:line="240" w:lineRule="auto"/>
              <w:ind w:left="714" w:hanging="357"/>
              <w:rPr>
                <w:rFonts w:ascii="Arial Narrow" w:hAnsi="Arial Narrow" w:cs="Arial"/>
                <w:sz w:val="20"/>
                <w:szCs w:val="20"/>
              </w:rPr>
            </w:pPr>
            <w:r>
              <w:rPr>
                <w:rFonts w:ascii="Arial Narrow" w:hAnsi="Arial Narrow" w:cs="Arial"/>
                <w:sz w:val="20"/>
                <w:szCs w:val="20"/>
              </w:rPr>
              <w:t>Recognisable landmarks, both natural and man made;</w:t>
            </w:r>
          </w:p>
          <w:p w:rsidR="002968D0" w:rsidRDefault="002968D0" w:rsidP="002968D0">
            <w:pPr>
              <w:pStyle w:val="ListParagraph"/>
              <w:numPr>
                <w:ilvl w:val="0"/>
                <w:numId w:val="6"/>
              </w:numPr>
              <w:spacing w:after="0" w:line="240" w:lineRule="auto"/>
              <w:ind w:left="714" w:hanging="357"/>
              <w:rPr>
                <w:rFonts w:ascii="Arial Narrow" w:hAnsi="Arial Narrow" w:cs="Arial"/>
                <w:sz w:val="20"/>
                <w:szCs w:val="20"/>
              </w:rPr>
            </w:pPr>
            <w:r>
              <w:rPr>
                <w:rFonts w:ascii="Arial Narrow" w:hAnsi="Arial Narrow" w:cs="Arial"/>
                <w:sz w:val="20"/>
                <w:szCs w:val="20"/>
              </w:rPr>
              <w:t>The landscape, termperature and flora and fauna that are native to different areas;</w:t>
            </w:r>
          </w:p>
          <w:p w:rsidR="002968D0" w:rsidRPr="002968D0" w:rsidRDefault="002968D0" w:rsidP="002968D0">
            <w:pPr>
              <w:pStyle w:val="ListParagraph"/>
              <w:numPr>
                <w:ilvl w:val="0"/>
                <w:numId w:val="6"/>
              </w:numPr>
              <w:spacing w:after="0" w:line="240" w:lineRule="auto"/>
              <w:ind w:left="714" w:hanging="357"/>
              <w:rPr>
                <w:rFonts w:ascii="Arial Narrow" w:hAnsi="Arial Narrow" w:cs="Arial"/>
                <w:sz w:val="20"/>
                <w:szCs w:val="20"/>
              </w:rPr>
            </w:pPr>
            <w:r>
              <w:rPr>
                <w:rFonts w:ascii="Arial Narrow" w:hAnsi="Arial Narrow" w:cs="Arial"/>
                <w:sz w:val="20"/>
                <w:szCs w:val="20"/>
              </w:rPr>
              <w:t>Indigenous Australians and British settlement.</w:t>
            </w:r>
          </w:p>
          <w:p w:rsidR="007336E0" w:rsidRPr="007336E0" w:rsidRDefault="007336E0" w:rsidP="007336E0">
            <w:pPr>
              <w:rPr>
                <w:rFonts w:ascii="Arial Narrow" w:hAnsi="Arial Narrow" w:cs="Arial"/>
                <w:sz w:val="20"/>
                <w:szCs w:val="20"/>
              </w:rPr>
            </w:pPr>
          </w:p>
          <w:p w:rsidR="004F1EF9" w:rsidRPr="004F1EF9" w:rsidRDefault="004F1EF9" w:rsidP="00DD499A">
            <w:pPr>
              <w:rPr>
                <w:rFonts w:ascii="Arial Narrow" w:hAnsi="Arial Narrow" w:cs="Arial"/>
                <w:sz w:val="20"/>
                <w:szCs w:val="20"/>
              </w:rPr>
            </w:pPr>
            <w:r>
              <w:rPr>
                <w:rFonts w:ascii="Arial Narrow" w:hAnsi="Arial Narrow" w:cs="Arial"/>
                <w:sz w:val="20"/>
                <w:szCs w:val="20"/>
              </w:rPr>
              <w:t xml:space="preserve">Students will </w:t>
            </w:r>
            <w:r w:rsidR="002968D0">
              <w:rPr>
                <w:rFonts w:ascii="Arial Narrow" w:hAnsi="Arial Narrow" w:cs="Arial"/>
                <w:sz w:val="20"/>
                <w:szCs w:val="20"/>
              </w:rPr>
              <w:t xml:space="preserve">participate in a learning walk through the Grade 3 classrooms at the end of the term, with each class </w:t>
            </w:r>
            <w:r w:rsidR="00DD499A">
              <w:rPr>
                <w:rFonts w:ascii="Arial Narrow" w:hAnsi="Arial Narrow" w:cs="Arial"/>
                <w:sz w:val="20"/>
                <w:szCs w:val="20"/>
              </w:rPr>
              <w:t xml:space="preserve">presenting their learning about a specific state or territory of Australia. </w:t>
            </w:r>
            <w:bookmarkStart w:id="0" w:name="_GoBack"/>
            <w:bookmarkEnd w:id="0"/>
            <w:r w:rsidR="002968D0">
              <w:rPr>
                <w:rFonts w:ascii="Arial Narrow" w:hAnsi="Arial Narrow" w:cs="Arial"/>
                <w:sz w:val="20"/>
                <w:szCs w:val="20"/>
              </w:rPr>
              <w:t xml:space="preserve"> </w:t>
            </w:r>
          </w:p>
        </w:tc>
      </w:tr>
    </w:tbl>
    <w:p w:rsidR="002144BA" w:rsidRPr="002144BA" w:rsidRDefault="002144BA" w:rsidP="002144BA">
      <w:pPr>
        <w:rPr>
          <w:rFonts w:ascii="Arial Narrow" w:hAnsi="Arial Narrow"/>
          <w:sz w:val="16"/>
          <w:szCs w:val="22"/>
        </w:rPr>
      </w:pPr>
    </w:p>
    <w:p w:rsidR="002144BA" w:rsidRPr="002144BA" w:rsidRDefault="002144BA" w:rsidP="002144BA">
      <w:pPr>
        <w:rPr>
          <w:rFonts w:ascii="Arial Narrow" w:hAnsi="Arial Narrow"/>
          <w:sz w:val="20"/>
          <w:szCs w:val="22"/>
        </w:rPr>
      </w:pPr>
      <w:r w:rsidRPr="002144BA">
        <w:rPr>
          <w:rFonts w:ascii="Arial Narrow" w:hAnsi="Arial Narrow"/>
          <w:sz w:val="20"/>
          <w:szCs w:val="22"/>
        </w:rPr>
        <w:t>Kind regards,</w:t>
      </w:r>
    </w:p>
    <w:p w:rsidR="002144BA" w:rsidRDefault="00C0340B" w:rsidP="002144BA">
      <w:pPr>
        <w:rPr>
          <w:rFonts w:ascii="Arial Narrow" w:hAnsi="Arial Narrow"/>
          <w:sz w:val="20"/>
          <w:szCs w:val="22"/>
        </w:rPr>
      </w:pPr>
      <w:r>
        <w:rPr>
          <w:rFonts w:ascii="Arial Narrow" w:hAnsi="Arial Narrow"/>
          <w:sz w:val="20"/>
          <w:szCs w:val="22"/>
        </w:rPr>
        <w:t>Year 3</w:t>
      </w:r>
      <w:r w:rsidR="002144BA" w:rsidRPr="002144BA">
        <w:rPr>
          <w:rFonts w:ascii="Arial Narrow" w:hAnsi="Arial Narrow"/>
          <w:sz w:val="20"/>
          <w:szCs w:val="22"/>
        </w:rPr>
        <w:t xml:space="preserve"> Teachers</w:t>
      </w:r>
    </w:p>
    <w:p w:rsidR="00543F02" w:rsidRPr="002144BA" w:rsidRDefault="00543F02" w:rsidP="002144BA">
      <w:pPr>
        <w:rPr>
          <w:rFonts w:ascii="Arial Narrow" w:hAnsi="Arial Narrow"/>
          <w:sz w:val="20"/>
          <w:szCs w:val="22"/>
        </w:rPr>
      </w:pPr>
    </w:p>
    <w:p w:rsidR="002144BA" w:rsidRPr="002144BA" w:rsidRDefault="00C0340B" w:rsidP="002144BA">
      <w:pPr>
        <w:rPr>
          <w:rFonts w:ascii="Arial Narrow" w:hAnsi="Arial Narrow"/>
          <w:i/>
          <w:sz w:val="20"/>
          <w:szCs w:val="22"/>
        </w:rPr>
      </w:pPr>
      <w:r>
        <w:rPr>
          <w:rFonts w:ascii="Arial Narrow" w:hAnsi="Arial Narrow"/>
          <w:i/>
          <w:sz w:val="20"/>
          <w:szCs w:val="22"/>
        </w:rPr>
        <w:t>Marcella Liocano, Dianne Saikaly, Emily Wilson, Rob Merlino, Rebecca Spiteri, Lauren Walker and Hana Orrico.</w:t>
      </w:r>
    </w:p>
    <w:p w:rsidR="002144BA" w:rsidRPr="002144BA" w:rsidRDefault="002144BA" w:rsidP="002144BA">
      <w:pPr>
        <w:rPr>
          <w:rFonts w:ascii="Arial Narrow" w:hAnsi="Arial Narrow"/>
          <w:sz w:val="10"/>
          <w:szCs w:val="22"/>
        </w:rPr>
      </w:pPr>
    </w:p>
    <w:p w:rsidR="002144BA" w:rsidRPr="0091017F" w:rsidRDefault="002144BA" w:rsidP="002144BA">
      <w:pPr>
        <w:rPr>
          <w:rFonts w:ascii="Century Gothic" w:hAnsi="Century Gothic"/>
          <w:i/>
          <w:sz w:val="20"/>
          <w:szCs w:val="22"/>
        </w:rPr>
      </w:pPr>
    </w:p>
    <w:p w:rsidR="001E0955" w:rsidRDefault="001E0955" w:rsidP="002144BA"/>
    <w:sectPr w:rsidR="001E0955" w:rsidSect="002144BA">
      <w:pgSz w:w="11906" w:h="16838"/>
      <w:pgMar w:top="510" w:right="567" w:bottom="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628EF"/>
    <w:multiLevelType w:val="hybridMultilevel"/>
    <w:tmpl w:val="26C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E45347"/>
    <w:multiLevelType w:val="hybridMultilevel"/>
    <w:tmpl w:val="0ACA3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5104B2E"/>
    <w:multiLevelType w:val="hybridMultilevel"/>
    <w:tmpl w:val="08446E32"/>
    <w:lvl w:ilvl="0" w:tplc="1DB045BE">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9366AE"/>
    <w:multiLevelType w:val="hybridMultilevel"/>
    <w:tmpl w:val="AA423E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443BE1"/>
    <w:multiLevelType w:val="hybridMultilevel"/>
    <w:tmpl w:val="EA962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E5569B"/>
    <w:multiLevelType w:val="hybridMultilevel"/>
    <w:tmpl w:val="6E68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023C9B"/>
    <w:multiLevelType w:val="hybridMultilevel"/>
    <w:tmpl w:val="E0F47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BA"/>
    <w:rsid w:val="001E0955"/>
    <w:rsid w:val="002144BA"/>
    <w:rsid w:val="002345AF"/>
    <w:rsid w:val="002968D0"/>
    <w:rsid w:val="002E6F6B"/>
    <w:rsid w:val="003E0A6F"/>
    <w:rsid w:val="0047778C"/>
    <w:rsid w:val="004D6596"/>
    <w:rsid w:val="004F1EF9"/>
    <w:rsid w:val="00543F02"/>
    <w:rsid w:val="0062047A"/>
    <w:rsid w:val="00633D35"/>
    <w:rsid w:val="007336E0"/>
    <w:rsid w:val="00837CAC"/>
    <w:rsid w:val="00AA0036"/>
    <w:rsid w:val="00C0340B"/>
    <w:rsid w:val="00CC4720"/>
    <w:rsid w:val="00DC19F4"/>
    <w:rsid w:val="00DD499A"/>
    <w:rsid w:val="00E53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7BE32-149B-4B5E-9396-4F392DDA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BA"/>
    <w:pPr>
      <w:spacing w:after="200" w:line="276" w:lineRule="auto"/>
      <w:ind w:left="720"/>
      <w:contextualSpacing/>
    </w:pPr>
    <w:rPr>
      <w:rFonts w:ascii="Calibri" w:eastAsia="Calibri" w:hAnsi="Calibr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activerain.com/image_store/uploads/9/4/1/5/9/ar128820402695149.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m.au/url?sa=i&amp;rct=j&amp;q=&amp;esrc=s&amp;source=images&amp;cd=&amp;cad=rja&amp;uact=8&amp;ved=0ahUKEwiPjrj8oPvLAhVBvpQKHXCuDjYQjRwIBw&amp;url=http://kpp.dromgff.top/c/market-economy-clipart/&amp;bvm=bv.118817766,d.dGo&amp;psig=AFQjCNHwnpConv8YVUjJiK6oZhUO2NPmPQ&amp;ust=14600748644198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Paterno</dc:creator>
  <cp:keywords/>
  <dc:description/>
  <cp:lastModifiedBy>Lauren Walker</cp:lastModifiedBy>
  <cp:revision>6</cp:revision>
  <dcterms:created xsi:type="dcterms:W3CDTF">2018-02-07T10:25:00Z</dcterms:created>
  <dcterms:modified xsi:type="dcterms:W3CDTF">2018-02-10T11:35:00Z</dcterms:modified>
</cp:coreProperties>
</file>