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B1" w:rsidRPr="00A570E5" w:rsidRDefault="00752E61" w:rsidP="00752E61">
      <w:pPr>
        <w:rPr>
          <w:rFonts w:ascii="Agent Orange" w:hAnsi="Agent Orange" w:cs="Agent Orange"/>
          <w:b/>
          <w:sz w:val="36"/>
          <w:szCs w:val="40"/>
        </w:rPr>
      </w:pPr>
      <w:r w:rsidRPr="00A570E5">
        <w:rPr>
          <w:rFonts w:ascii="Arial" w:hAnsi="Arial" w:cs="Arial"/>
          <w:noProof/>
          <w:color w:val="0000FF"/>
          <w:sz w:val="22"/>
          <w:szCs w:val="27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EAC19C0" wp14:editId="3B64C812">
            <wp:simplePos x="0" y="0"/>
            <wp:positionH relativeFrom="column">
              <wp:posOffset>-114300</wp:posOffset>
            </wp:positionH>
            <wp:positionV relativeFrom="paragraph">
              <wp:posOffset>71755</wp:posOffset>
            </wp:positionV>
            <wp:extent cx="17621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83" y="21405"/>
                <wp:lineTo x="21483" y="0"/>
                <wp:lineTo x="0" y="0"/>
              </wp:wrapPolygon>
            </wp:wrapTight>
            <wp:docPr id="2" name="Picture 2" descr="https://encrypted-tbn3.gstatic.com/images?q=tbn:ANd9GcTcvKgW9b0EJP2WrKfypefIfWVCUKTnIMdqvghCZiHUhnK7KNDZn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cvKgW9b0EJP2WrKfypefIfWVCUKTnIMdqvghCZiHUhnK7KNDZn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B1" w:rsidRPr="00A570E5">
        <w:rPr>
          <w:rFonts w:ascii="Agent Orange" w:hAnsi="Agent Orange" w:cs="Agent Orange"/>
          <w:b/>
          <w:sz w:val="32"/>
          <w:szCs w:val="40"/>
        </w:rPr>
        <w:t>Year 6</w:t>
      </w:r>
      <w:r w:rsidRPr="00A570E5">
        <w:rPr>
          <w:rFonts w:ascii="Agent Orange" w:hAnsi="Agent Orange" w:cs="Agent Orange"/>
          <w:b/>
          <w:sz w:val="32"/>
          <w:szCs w:val="40"/>
        </w:rPr>
        <w:t xml:space="preserve"> </w:t>
      </w:r>
      <w:r w:rsidR="001C5BBD" w:rsidRPr="00A570E5">
        <w:rPr>
          <w:rFonts w:ascii="Agent Orange" w:hAnsi="Agent Orange" w:cs="Agent Orange"/>
          <w:b/>
          <w:sz w:val="32"/>
          <w:szCs w:val="40"/>
        </w:rPr>
        <w:t xml:space="preserve">Term </w:t>
      </w:r>
      <w:r w:rsidR="00100577">
        <w:rPr>
          <w:rFonts w:ascii="Agent Orange" w:hAnsi="Agent Orange" w:cs="Agent Orange"/>
          <w:b/>
          <w:sz w:val="32"/>
          <w:szCs w:val="40"/>
        </w:rPr>
        <w:t>3</w:t>
      </w:r>
      <w:r w:rsidR="00A570E5">
        <w:rPr>
          <w:rFonts w:ascii="Agent Orange" w:hAnsi="Agent Orange" w:cs="Agent Orange"/>
          <w:b/>
          <w:sz w:val="32"/>
          <w:szCs w:val="40"/>
        </w:rPr>
        <w:br/>
      </w:r>
      <w:r w:rsidRPr="00A570E5">
        <w:rPr>
          <w:rFonts w:ascii="Agent Orange" w:hAnsi="Agent Orange" w:cs="Agent Orange"/>
          <w:b/>
          <w:sz w:val="36"/>
          <w:szCs w:val="40"/>
        </w:rPr>
        <w:t xml:space="preserve">Overview </w:t>
      </w:r>
      <w:r w:rsidR="00D932B1" w:rsidRPr="00A570E5">
        <w:rPr>
          <w:rFonts w:ascii="Agent Orange" w:hAnsi="Agent Orange" w:cs="Agent Orange"/>
          <w:b/>
          <w:sz w:val="36"/>
          <w:szCs w:val="40"/>
        </w:rPr>
        <w:t>201</w:t>
      </w:r>
      <w:r w:rsidR="004633B3">
        <w:rPr>
          <w:rFonts w:ascii="Agent Orange" w:hAnsi="Agent Orange" w:cs="Agent Orange"/>
          <w:b/>
          <w:sz w:val="36"/>
          <w:szCs w:val="40"/>
        </w:rPr>
        <w:t>9</w:t>
      </w:r>
      <w:bookmarkStart w:id="0" w:name="_GoBack"/>
      <w:bookmarkEnd w:id="0"/>
    </w:p>
    <w:p w:rsidR="00752E61" w:rsidRPr="009B0E6D" w:rsidRDefault="00752E61" w:rsidP="00D932B1">
      <w:pPr>
        <w:jc w:val="both"/>
        <w:rPr>
          <w:rFonts w:ascii="Century Gothic" w:hAnsi="Century Gothic"/>
          <w:sz w:val="22"/>
          <w:szCs w:val="20"/>
        </w:rPr>
      </w:pPr>
    </w:p>
    <w:p w:rsidR="00D932B1" w:rsidRPr="00A570E5" w:rsidRDefault="00D932B1" w:rsidP="00D932B1">
      <w:pPr>
        <w:jc w:val="both"/>
        <w:rPr>
          <w:rFonts w:ascii="Century Gothic" w:hAnsi="Century Gothic"/>
          <w:sz w:val="20"/>
          <w:szCs w:val="20"/>
        </w:rPr>
      </w:pPr>
      <w:r w:rsidRPr="00A570E5">
        <w:rPr>
          <w:rFonts w:ascii="Century Gothic" w:hAnsi="Century Gothic"/>
          <w:sz w:val="20"/>
          <w:szCs w:val="20"/>
        </w:rPr>
        <w:t>Dear Parents/Guardians,</w:t>
      </w:r>
    </w:p>
    <w:p w:rsidR="00D932B1" w:rsidRPr="00A570E5" w:rsidRDefault="00D932B1" w:rsidP="00D932B1">
      <w:pPr>
        <w:jc w:val="both"/>
        <w:rPr>
          <w:rFonts w:ascii="Century Gothic" w:hAnsi="Century Gothic"/>
          <w:sz w:val="10"/>
          <w:szCs w:val="10"/>
        </w:rPr>
      </w:pPr>
    </w:p>
    <w:p w:rsidR="00D932B1" w:rsidRPr="00A570E5" w:rsidRDefault="00D932B1" w:rsidP="00D932B1">
      <w:pPr>
        <w:jc w:val="both"/>
        <w:rPr>
          <w:rFonts w:ascii="Century Gothic" w:hAnsi="Century Gothic"/>
          <w:sz w:val="20"/>
          <w:szCs w:val="20"/>
        </w:rPr>
      </w:pPr>
      <w:r w:rsidRPr="00A570E5">
        <w:rPr>
          <w:rFonts w:ascii="Century Gothic" w:hAnsi="Century Gothic"/>
          <w:sz w:val="20"/>
          <w:szCs w:val="20"/>
        </w:rPr>
        <w:t xml:space="preserve">Please find an outline of the learning </w:t>
      </w:r>
      <w:r w:rsidR="004633B3">
        <w:rPr>
          <w:rFonts w:ascii="Century Gothic" w:hAnsi="Century Gothic"/>
          <w:sz w:val="20"/>
          <w:szCs w:val="20"/>
        </w:rPr>
        <w:t>and teaching programs for Term 3</w:t>
      </w:r>
      <w:r w:rsidRPr="00A570E5">
        <w:rPr>
          <w:rFonts w:ascii="Century Gothic" w:hAnsi="Century Gothic"/>
          <w:sz w:val="20"/>
          <w:szCs w:val="20"/>
        </w:rPr>
        <w:t xml:space="preserve">.  Due to the wide range of student abilities in each classroom, the teaching and learning program will be structured so that the learning needs of each student are catered for.   </w:t>
      </w:r>
    </w:p>
    <w:p w:rsidR="00D932B1" w:rsidRPr="009B0E6D" w:rsidRDefault="00D932B1" w:rsidP="00D932B1">
      <w:pPr>
        <w:jc w:val="both"/>
        <w:rPr>
          <w:rFonts w:ascii="Century Gothic" w:hAnsi="Century Gothic"/>
          <w:sz w:val="12"/>
          <w:szCs w:val="1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14"/>
          <w:szCs w:val="20"/>
        </w:rPr>
      </w:pPr>
    </w:p>
    <w:tbl>
      <w:tblPr>
        <w:tblW w:w="99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39"/>
        <w:gridCol w:w="4395"/>
        <w:gridCol w:w="308"/>
      </w:tblGrid>
      <w:tr w:rsidR="00D932B1" w:rsidRPr="009B0E6D" w:rsidTr="00CA1389">
        <w:trPr>
          <w:trHeight w:val="1571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English</w:t>
            </w:r>
          </w:p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CA1389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Reading Focus:</w:t>
            </w:r>
          </w:p>
          <w:p w:rsidR="00D932B1" w:rsidRPr="00A570E5" w:rsidRDefault="001C5BBD" w:rsidP="000859F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570E5">
              <w:rPr>
                <w:rFonts w:ascii="Century Gothic" w:hAnsi="Century Gothic"/>
                <w:sz w:val="22"/>
                <w:szCs w:val="22"/>
              </w:rPr>
              <w:t xml:space="preserve">Reading sessions will involve a variety of activities related to a range of texts. Students will be grouped into </w:t>
            </w:r>
            <w:r w:rsidR="00752E61" w:rsidRPr="00A570E5">
              <w:rPr>
                <w:rFonts w:ascii="Century Gothic" w:hAnsi="Century Gothic"/>
                <w:sz w:val="22"/>
                <w:szCs w:val="22"/>
              </w:rPr>
              <w:t xml:space="preserve">reciprocal </w:t>
            </w:r>
            <w:r w:rsidRPr="00A570E5">
              <w:rPr>
                <w:rFonts w:ascii="Century Gothic" w:hAnsi="Century Gothic"/>
                <w:sz w:val="22"/>
                <w:szCs w:val="22"/>
              </w:rPr>
              <w:t xml:space="preserve">reading groups or </w:t>
            </w:r>
            <w:r w:rsidR="00752E61" w:rsidRPr="00A570E5">
              <w:rPr>
                <w:rFonts w:ascii="Century Gothic" w:hAnsi="Century Gothic"/>
                <w:sz w:val="22"/>
                <w:szCs w:val="22"/>
              </w:rPr>
              <w:t>strategy groups</w:t>
            </w:r>
            <w:r w:rsidR="000B0BC8" w:rsidRPr="00A570E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570E5">
              <w:rPr>
                <w:rFonts w:ascii="Century Gothic" w:hAnsi="Century Gothic"/>
                <w:sz w:val="22"/>
                <w:szCs w:val="22"/>
              </w:rPr>
              <w:t xml:space="preserve">and will be working towards independence in reading. </w:t>
            </w:r>
            <w:r w:rsidR="00A570E5" w:rsidRPr="00A570E5">
              <w:rPr>
                <w:rFonts w:ascii="Century Gothic" w:hAnsi="Century Gothic"/>
                <w:sz w:val="22"/>
                <w:szCs w:val="22"/>
              </w:rPr>
              <w:t>The focus in reading will be on</w:t>
            </w:r>
            <w:r w:rsidR="00A570E5" w:rsidRPr="00A570E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0F7FEC">
              <w:rPr>
                <w:rFonts w:ascii="Century Gothic" w:hAnsi="Century Gothic" w:cs="Arial"/>
                <w:sz w:val="22"/>
                <w:szCs w:val="22"/>
              </w:rPr>
              <w:t xml:space="preserve">asking </w:t>
            </w:r>
            <w:r w:rsidR="00A570E5" w:rsidRPr="00A570E5">
              <w:rPr>
                <w:rFonts w:ascii="Century Gothic" w:hAnsi="Century Gothic" w:cs="Arial"/>
                <w:sz w:val="22"/>
                <w:szCs w:val="22"/>
              </w:rPr>
              <w:t xml:space="preserve">questions before during and after, </w:t>
            </w:r>
            <w:r w:rsidR="003371E3">
              <w:rPr>
                <w:rFonts w:ascii="Century Gothic" w:hAnsi="Century Gothic" w:cs="Arial"/>
                <w:sz w:val="22"/>
                <w:szCs w:val="22"/>
              </w:rPr>
              <w:t xml:space="preserve">authors purpose, </w:t>
            </w:r>
            <w:r w:rsidR="000859F4">
              <w:rPr>
                <w:rFonts w:ascii="Century Gothic" w:hAnsi="Century Gothic" w:cs="Arial"/>
                <w:sz w:val="22"/>
                <w:szCs w:val="22"/>
              </w:rPr>
              <w:t>inferring</w:t>
            </w:r>
            <w:r w:rsidR="00A570E5" w:rsidRPr="00A570E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A570E5">
              <w:rPr>
                <w:rFonts w:ascii="Century Gothic" w:hAnsi="Century Gothic"/>
                <w:sz w:val="22"/>
                <w:szCs w:val="22"/>
              </w:rPr>
              <w:t xml:space="preserve">and comprehension. Students will also be exposed to various forms of texts relating to </w:t>
            </w:r>
            <w:r w:rsidR="000F7FEC">
              <w:rPr>
                <w:rFonts w:ascii="Century Gothic" w:hAnsi="Century Gothic"/>
                <w:sz w:val="22"/>
                <w:szCs w:val="22"/>
              </w:rPr>
              <w:t xml:space="preserve">drug education and </w:t>
            </w:r>
            <w:r w:rsidR="003371E3">
              <w:rPr>
                <w:rFonts w:ascii="Century Gothic" w:hAnsi="Century Gothic"/>
                <w:sz w:val="22"/>
                <w:szCs w:val="22"/>
              </w:rPr>
              <w:t xml:space="preserve">adolescence. </w:t>
            </w:r>
            <w:r w:rsidR="000F7FE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570E5" w:rsidRPr="00A570E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D932B1" w:rsidRPr="009B0E6D" w:rsidTr="00CA1389">
        <w:trPr>
          <w:trHeight w:val="1537"/>
        </w:trPr>
        <w:tc>
          <w:tcPr>
            <w:tcW w:w="1135" w:type="dxa"/>
            <w:vMerge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CA1389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Writing Focus:</w:t>
            </w:r>
          </w:p>
          <w:p w:rsidR="00D932B1" w:rsidRPr="009B0E6D" w:rsidRDefault="00D932B1" w:rsidP="00100577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Writing sessions will concentrate on planning, composing/recording, revising &amp; publishing written work in a variety of forms. Students will be exposed to the different characteristics of a range of writing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.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They will 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be </w:t>
            </w:r>
            <w:r w:rsidR="000859F4">
              <w:rPr>
                <w:rFonts w:ascii="Century Gothic" w:hAnsi="Century Gothic"/>
                <w:sz w:val="22"/>
                <w:szCs w:val="20"/>
              </w:rPr>
              <w:t xml:space="preserve">narratives and </w:t>
            </w:r>
            <w:r w:rsidR="00100577">
              <w:rPr>
                <w:rFonts w:ascii="Century Gothic" w:hAnsi="Century Gothic"/>
                <w:sz w:val="22"/>
                <w:szCs w:val="20"/>
              </w:rPr>
              <w:t>letter writing</w:t>
            </w:r>
            <w:r w:rsidR="000859F4">
              <w:rPr>
                <w:rFonts w:ascii="Century Gothic" w:hAnsi="Century Gothic"/>
                <w:sz w:val="22"/>
                <w:szCs w:val="20"/>
              </w:rPr>
              <w:t>.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 The students will also focus on writing personal choice pieces for their Writer’s Notebook</w:t>
            </w:r>
            <w:r w:rsidR="00533DFC">
              <w:rPr>
                <w:rFonts w:ascii="Century Gothic" w:hAnsi="Century Gothic"/>
                <w:sz w:val="22"/>
                <w:szCs w:val="20"/>
              </w:rPr>
              <w:t>.</w:t>
            </w:r>
          </w:p>
        </w:tc>
      </w:tr>
      <w:tr w:rsidR="00D932B1" w:rsidRPr="009B0E6D" w:rsidTr="00CA1389">
        <w:trPr>
          <w:trHeight w:val="1559"/>
        </w:trPr>
        <w:tc>
          <w:tcPr>
            <w:tcW w:w="1135" w:type="dxa"/>
            <w:vMerge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A570E5" w:rsidP="00CA1389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0"/>
              </w:rPr>
              <w:t>S</w:t>
            </w:r>
            <w:r w:rsidR="00D932B1" w:rsidRPr="009B0E6D">
              <w:rPr>
                <w:rFonts w:ascii="Century Gothic" w:hAnsi="Century Gothic"/>
                <w:b/>
                <w:sz w:val="22"/>
                <w:szCs w:val="20"/>
              </w:rPr>
              <w:t>peaking &amp; Listening Focus:</w:t>
            </w:r>
          </w:p>
          <w:p w:rsidR="00D932B1" w:rsidRPr="009B0E6D" w:rsidRDefault="001C5BBD" w:rsidP="00A570E5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Students will have many opportunities to speak in front of others, to encourage &amp; increase their confidence. Students will be encouraged to put into practice the qualities of what makes a good speaker &amp; listener. </w:t>
            </w:r>
          </w:p>
        </w:tc>
      </w:tr>
      <w:tr w:rsidR="00D932B1" w:rsidRPr="009B0E6D" w:rsidTr="00CA1389">
        <w:trPr>
          <w:trHeight w:val="1269"/>
        </w:trPr>
        <w:tc>
          <w:tcPr>
            <w:tcW w:w="1135" w:type="dxa"/>
            <w:vMerge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CA1389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Spelling and Grammar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D932B1" w:rsidRPr="009B0E6D" w:rsidRDefault="00D932B1" w:rsidP="00DF5AE5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Spelling and grammar are part of the writing process. Strategies &amp; skills will be developed through the study of Inquiry unit words, students’ selected words from their own writing, grammar workshops and weekly 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spelling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foci.</w:t>
            </w:r>
          </w:p>
        </w:tc>
      </w:tr>
      <w:tr w:rsidR="00D932B1" w:rsidRPr="009B0E6D" w:rsidTr="00CA1389">
        <w:trPr>
          <w:trHeight w:val="409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Maths</w:t>
            </w:r>
          </w:p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CA1389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During Mathematics sessions this term, students will be learning about the following:</w:t>
            </w:r>
          </w:p>
        </w:tc>
      </w:tr>
      <w:tr w:rsidR="00D932B1" w:rsidRPr="009B0E6D" w:rsidTr="004633B3">
        <w:trPr>
          <w:trHeight w:val="1489"/>
        </w:trPr>
        <w:tc>
          <w:tcPr>
            <w:tcW w:w="1135" w:type="dxa"/>
            <w:vMerge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4139" w:type="dxa"/>
          </w:tcPr>
          <w:p w:rsidR="00D932B1" w:rsidRPr="009B0E6D" w:rsidRDefault="00D932B1" w:rsidP="00CA1389">
            <w:pPr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Number &amp; Algebra Focus:</w:t>
            </w:r>
          </w:p>
          <w:p w:rsidR="000859F4" w:rsidRDefault="004633B3" w:rsidP="000F7F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Operating with fractions</w:t>
            </w:r>
          </w:p>
          <w:p w:rsidR="000859F4" w:rsidRDefault="004633B3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Connecting fractions decimals and percentages</w:t>
            </w:r>
          </w:p>
          <w:p w:rsidR="000859F4" w:rsidRDefault="000859F4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Multiplication </w:t>
            </w:r>
          </w:p>
          <w:p w:rsidR="000859F4" w:rsidRPr="000859F4" w:rsidRDefault="000859F4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Division </w:t>
            </w:r>
          </w:p>
        </w:tc>
        <w:tc>
          <w:tcPr>
            <w:tcW w:w="4395" w:type="dxa"/>
          </w:tcPr>
          <w:p w:rsidR="00D932B1" w:rsidRDefault="00D932B1" w:rsidP="00CA1389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Measurement &amp; Geometry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0859F4" w:rsidRDefault="000859F4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S</w:t>
            </w:r>
            <w:r w:rsidR="003371E3">
              <w:rPr>
                <w:rFonts w:ascii="Century Gothic" w:hAnsi="Century Gothic"/>
                <w:sz w:val="22"/>
                <w:szCs w:val="20"/>
              </w:rPr>
              <w:t>hape</w:t>
            </w:r>
          </w:p>
          <w:p w:rsidR="00100577" w:rsidRPr="000859F4" w:rsidRDefault="00100577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Cartesian coordinates </w:t>
            </w:r>
          </w:p>
          <w:p w:rsidR="00D932B1" w:rsidRPr="009B0E6D" w:rsidRDefault="00A570E5" w:rsidP="009B0E6D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  <w:r w:rsidRPr="00A570E5"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</w:tc>
        <w:tc>
          <w:tcPr>
            <w:tcW w:w="308" w:type="dxa"/>
          </w:tcPr>
          <w:p w:rsidR="00D932B1" w:rsidRPr="009B0E6D" w:rsidRDefault="00D932B1" w:rsidP="00CA1389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  <w:p w:rsidR="00D932B1" w:rsidRPr="009B0E6D" w:rsidRDefault="00D932B1" w:rsidP="00CA1389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</w:tc>
      </w:tr>
      <w:tr w:rsidR="00D932B1" w:rsidRPr="009B0E6D" w:rsidTr="00CA1389">
        <w:trPr>
          <w:trHeight w:val="2124"/>
        </w:trPr>
        <w:tc>
          <w:tcPr>
            <w:tcW w:w="1135" w:type="dxa"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 xml:space="preserve">Inquiry </w:t>
            </w:r>
            <w:r w:rsidRPr="009B0E6D">
              <w:rPr>
                <w:rFonts w:ascii="Century Gothic" w:hAnsi="Century Gothic"/>
                <w:b/>
                <w:sz w:val="22"/>
                <w:szCs w:val="20"/>
              </w:rPr>
              <w:t xml:space="preserve">Learning </w:t>
            </w:r>
            <w:r w:rsidRPr="009B0E6D">
              <w:rPr>
                <w:rFonts w:ascii="Century Gothic" w:hAnsi="Century Gothic"/>
                <w:b/>
                <w:szCs w:val="22"/>
              </w:rPr>
              <w:t>Focus:</w:t>
            </w:r>
          </w:p>
        </w:tc>
        <w:tc>
          <w:tcPr>
            <w:tcW w:w="8842" w:type="dxa"/>
            <w:gridSpan w:val="3"/>
            <w:vAlign w:val="center"/>
          </w:tcPr>
          <w:p w:rsidR="001C5BBD" w:rsidRPr="009B0E6D" w:rsidRDefault="001C5BBD" w:rsidP="001C5BBD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The unit</w:t>
            </w:r>
            <w:r w:rsidR="00385D3B">
              <w:rPr>
                <w:rFonts w:ascii="Century Gothic" w:hAnsi="Century Gothic"/>
                <w:sz w:val="22"/>
                <w:szCs w:val="20"/>
              </w:rPr>
              <w:t>s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for Grade 6 this term </w:t>
            </w:r>
            <w:r w:rsidR="00CA1389">
              <w:rPr>
                <w:rFonts w:ascii="Century Gothic" w:hAnsi="Century Gothic"/>
                <w:sz w:val="22"/>
                <w:szCs w:val="20"/>
              </w:rPr>
              <w:t>are</w:t>
            </w:r>
            <w:r w:rsidR="003371E3">
              <w:rPr>
                <w:rFonts w:ascii="Century Gothic" w:hAnsi="Century Gothic"/>
                <w:sz w:val="22"/>
                <w:szCs w:val="20"/>
              </w:rPr>
              <w:t xml:space="preserve"> Health Education, Puberty and Drug Education.</w:t>
            </w:r>
            <w:r w:rsidR="000F7FEC"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  <w:p w:rsidR="001C5BBD" w:rsidRPr="009B0E6D" w:rsidRDefault="001C5BBD" w:rsidP="001C5BBD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</w:p>
          <w:p w:rsidR="00D932B1" w:rsidRPr="009B0E6D" w:rsidRDefault="00D932B1" w:rsidP="00EB77EA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</w:p>
        </w:tc>
      </w:tr>
    </w:tbl>
    <w:p w:rsidR="00D932B1" w:rsidRPr="009B0E6D" w:rsidRDefault="00D932B1" w:rsidP="00D932B1">
      <w:pPr>
        <w:rPr>
          <w:rFonts w:ascii="Century Gothic" w:hAnsi="Century Gothic"/>
          <w:sz w:val="28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>Kind Regards,</w:t>
      </w:r>
    </w:p>
    <w:p w:rsidR="00CA1389" w:rsidRDefault="00D932B1" w:rsidP="003371E3">
      <w:pPr>
        <w:jc w:val="both"/>
        <w:rPr>
          <w:rFonts w:ascii="Century Gothic" w:hAnsi="Century Gothic"/>
          <w:sz w:val="22"/>
        </w:rPr>
      </w:pPr>
      <w:r w:rsidRPr="009B0E6D">
        <w:rPr>
          <w:rFonts w:ascii="Century Gothic" w:hAnsi="Century Gothic"/>
          <w:sz w:val="22"/>
          <w:szCs w:val="20"/>
        </w:rPr>
        <w:t xml:space="preserve">Year 6 Team </w:t>
      </w:r>
    </w:p>
    <w:p w:rsidR="00947382" w:rsidRDefault="00947382">
      <w:pPr>
        <w:rPr>
          <w:rFonts w:ascii="Century Gothic" w:hAnsi="Century Gothic"/>
          <w:sz w:val="22"/>
        </w:rPr>
      </w:pPr>
    </w:p>
    <w:p w:rsidR="00CA1389" w:rsidRDefault="00CA1389">
      <w:pPr>
        <w:rPr>
          <w:rFonts w:ascii="Century Gothic" w:hAnsi="Century Gothic"/>
          <w:sz w:val="22"/>
        </w:rPr>
      </w:pPr>
    </w:p>
    <w:p w:rsidR="00CA1389" w:rsidRDefault="00CA1389">
      <w:pPr>
        <w:rPr>
          <w:rFonts w:ascii="Century Gothic" w:hAnsi="Century Gothic"/>
          <w:sz w:val="22"/>
        </w:rPr>
      </w:pPr>
    </w:p>
    <w:p w:rsidR="00CA1389" w:rsidRDefault="00CA1389">
      <w:pPr>
        <w:rPr>
          <w:rFonts w:ascii="Century Gothic" w:hAnsi="Century Gothic"/>
          <w:sz w:val="22"/>
        </w:rPr>
      </w:pPr>
    </w:p>
    <w:p w:rsidR="00947382" w:rsidRDefault="00947382">
      <w:pPr>
        <w:rPr>
          <w:rFonts w:ascii="Century Gothic" w:hAnsi="Century Gothic"/>
          <w:sz w:val="22"/>
        </w:rPr>
      </w:pPr>
    </w:p>
    <w:p w:rsidR="00947382" w:rsidRPr="00947382" w:rsidRDefault="00947382">
      <w:pPr>
        <w:rPr>
          <w:rFonts w:ascii="Comic Sans MS" w:hAnsi="Comic Sans MS"/>
          <w:sz w:val="22"/>
        </w:rPr>
      </w:pPr>
    </w:p>
    <w:sectPr w:rsidR="00947382" w:rsidRPr="00947382" w:rsidSect="009B0E6D">
      <w:pgSz w:w="11906" w:h="16838"/>
      <w:pgMar w:top="142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FA7"/>
    <w:multiLevelType w:val="hybridMultilevel"/>
    <w:tmpl w:val="108888D6"/>
    <w:lvl w:ilvl="0" w:tplc="4D1ED9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0C6"/>
    <w:multiLevelType w:val="hybridMultilevel"/>
    <w:tmpl w:val="85B4E18C"/>
    <w:lvl w:ilvl="0" w:tplc="ED349F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26B"/>
    <w:multiLevelType w:val="hybridMultilevel"/>
    <w:tmpl w:val="3D183114"/>
    <w:lvl w:ilvl="0" w:tplc="6F9C491C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D6E"/>
    <w:multiLevelType w:val="hybridMultilevel"/>
    <w:tmpl w:val="BBD68674"/>
    <w:lvl w:ilvl="0" w:tplc="A83812E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21EF"/>
    <w:multiLevelType w:val="hybridMultilevel"/>
    <w:tmpl w:val="58CE59E2"/>
    <w:lvl w:ilvl="0" w:tplc="8CEA67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4"/>
    <w:rsid w:val="000859F4"/>
    <w:rsid w:val="000B0BC8"/>
    <w:rsid w:val="000F7FEC"/>
    <w:rsid w:val="00100577"/>
    <w:rsid w:val="001B5306"/>
    <w:rsid w:val="001C5BBD"/>
    <w:rsid w:val="00250757"/>
    <w:rsid w:val="002650B8"/>
    <w:rsid w:val="00294476"/>
    <w:rsid w:val="003371E3"/>
    <w:rsid w:val="003508B2"/>
    <w:rsid w:val="00355398"/>
    <w:rsid w:val="00385D3B"/>
    <w:rsid w:val="00387E29"/>
    <w:rsid w:val="003B1207"/>
    <w:rsid w:val="004633B3"/>
    <w:rsid w:val="00492648"/>
    <w:rsid w:val="00533DFC"/>
    <w:rsid w:val="005D1A7D"/>
    <w:rsid w:val="0062088D"/>
    <w:rsid w:val="00752E61"/>
    <w:rsid w:val="008C26BE"/>
    <w:rsid w:val="00947382"/>
    <w:rsid w:val="009B0E6D"/>
    <w:rsid w:val="00A570E5"/>
    <w:rsid w:val="00B511B4"/>
    <w:rsid w:val="00BF088F"/>
    <w:rsid w:val="00C178BB"/>
    <w:rsid w:val="00CA1389"/>
    <w:rsid w:val="00CF42D2"/>
    <w:rsid w:val="00D932B1"/>
    <w:rsid w:val="00DF5AE5"/>
    <w:rsid w:val="00EB77EA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A181"/>
  <w15:docId w15:val="{C84FE484-F684-40E9-82FB-217F353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://ghills.metamora.k12.il.us/sports/Science_Explosion.png&amp;imgrefurl=http://blogemis.com/2015/01/30/rodrigos-science-journal-3/&amp;h=180&amp;w=300&amp;tbnid=2pY3r3yc65t7PM:&amp;zoom=1&amp;docid=9Pg6ROWI_gfUMM&amp;ei=oUbZVM27IMz18QWP0oKQBA&amp;tbm=isch&amp;ved=0CFcQMygtM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Langford</dc:creator>
  <cp:keywords/>
  <dc:description/>
  <cp:lastModifiedBy>08436980</cp:lastModifiedBy>
  <cp:revision>2</cp:revision>
  <dcterms:created xsi:type="dcterms:W3CDTF">2019-07-17T23:30:00Z</dcterms:created>
  <dcterms:modified xsi:type="dcterms:W3CDTF">2019-07-17T23:30:00Z</dcterms:modified>
</cp:coreProperties>
</file>